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5CA1" w:rsidRDefault="00EF5CA1" w:rsidP="00CA6FD2">
      <w:pPr>
        <w:keepNext/>
        <w:spacing w:before="0" w:after="0" w:line="360" w:lineRule="exact"/>
        <w:jc w:val="center"/>
        <w:outlineLvl w:val="0"/>
        <w:rPr>
          <w:rFonts w:asciiTheme="minorHAnsi" w:eastAsia="Times New Roman" w:hAnsiTheme="minorHAnsi" w:cs="Times New Roman"/>
          <w:b/>
          <w:noProof/>
          <w:sz w:val="24"/>
          <w:szCs w:val="24"/>
          <w:lang w:eastAsia="fr-FR" w:bidi="ar-EG"/>
        </w:rPr>
      </w:pPr>
    </w:p>
    <w:p w:rsidR="00EF5CA1" w:rsidRDefault="00EF5CA1" w:rsidP="00CA6FD2">
      <w:pPr>
        <w:keepNext/>
        <w:spacing w:before="0" w:after="0" w:line="360" w:lineRule="exact"/>
        <w:jc w:val="center"/>
        <w:outlineLvl w:val="0"/>
        <w:rPr>
          <w:rFonts w:asciiTheme="minorHAnsi" w:eastAsia="Times New Roman" w:hAnsiTheme="minorHAnsi" w:cs="Times New Roman"/>
          <w:b/>
          <w:noProof/>
          <w:sz w:val="24"/>
          <w:szCs w:val="24"/>
          <w:lang w:eastAsia="fr-FR" w:bidi="ar-EG"/>
        </w:rPr>
      </w:pPr>
    </w:p>
    <w:p w:rsidR="00EF5CA1" w:rsidRDefault="00EF5CA1" w:rsidP="00CA6FD2">
      <w:pPr>
        <w:keepNext/>
        <w:spacing w:before="0" w:after="0" w:line="360" w:lineRule="exact"/>
        <w:jc w:val="center"/>
        <w:outlineLvl w:val="0"/>
        <w:rPr>
          <w:rFonts w:asciiTheme="minorHAnsi" w:eastAsia="Times New Roman" w:hAnsiTheme="minorHAnsi" w:cs="Times New Roman"/>
          <w:b/>
          <w:noProof/>
          <w:sz w:val="24"/>
          <w:szCs w:val="24"/>
          <w:lang w:eastAsia="fr-FR" w:bidi="ar-EG"/>
        </w:rPr>
      </w:pPr>
    </w:p>
    <w:p w:rsidR="00CA6FD2" w:rsidRPr="00CA6FD2" w:rsidRDefault="00EF5CA1" w:rsidP="00CA6FD2">
      <w:pPr>
        <w:keepNext/>
        <w:spacing w:before="0" w:after="0" w:line="360" w:lineRule="exact"/>
        <w:jc w:val="center"/>
        <w:outlineLvl w:val="0"/>
        <w:rPr>
          <w:rFonts w:asciiTheme="minorHAnsi" w:eastAsia="Times New Roman" w:hAnsiTheme="minorHAnsi" w:cs="Times New Roman"/>
          <w:noProof/>
          <w:sz w:val="24"/>
          <w:szCs w:val="24"/>
          <w:lang w:eastAsia="fr-FR" w:bidi="ar-EG"/>
        </w:rPr>
      </w:pPr>
      <w:r w:rsidRPr="00CA6FD2">
        <w:rPr>
          <w:rFonts w:asciiTheme="minorHAnsi" w:eastAsia="Times New Roman" w:hAnsiTheme="minorHAnsi" w:cs="Times New Roman"/>
          <w:b/>
          <w:noProof/>
          <w:sz w:val="24"/>
          <w:szCs w:val="24"/>
          <w:lang w:eastAsia="fr-FR" w:bidi="ar-EG"/>
        </w:rPr>
        <w:t>TEXTES DE REFERENCE ET OUTILS DU JURY D’EXAMENS</w:t>
      </w:r>
    </w:p>
    <w:p w:rsidR="00CA6FD2" w:rsidRPr="00CA6FD2" w:rsidRDefault="00CA6FD2" w:rsidP="00CA6FD2">
      <w:pPr>
        <w:spacing w:before="0" w:after="0" w:line="360" w:lineRule="exact"/>
        <w:jc w:val="center"/>
        <w:rPr>
          <w:rFonts w:asciiTheme="minorHAnsi" w:eastAsia="Times New Roman" w:hAnsiTheme="minorHAnsi" w:cs="Times New Roman"/>
          <w:b/>
          <w:lang w:eastAsia="fr-FR"/>
        </w:rPr>
      </w:pPr>
    </w:p>
    <w:p w:rsidR="00CA6FD2" w:rsidRDefault="00CA6FD2" w:rsidP="00CA6FD2">
      <w:pPr>
        <w:spacing w:before="0" w:after="0" w:line="360" w:lineRule="exact"/>
        <w:jc w:val="center"/>
        <w:rPr>
          <w:rFonts w:asciiTheme="minorHAnsi" w:eastAsia="Times New Roman" w:hAnsiTheme="minorHAnsi" w:cs="Times New Roman"/>
          <w:b/>
          <w:u w:val="single"/>
          <w:lang w:eastAsia="fr-FR"/>
        </w:rPr>
      </w:pPr>
    </w:p>
    <w:p w:rsidR="00CA6FD2" w:rsidRPr="00CA6FD2" w:rsidRDefault="00CA6FD2" w:rsidP="00CA6FD2">
      <w:pPr>
        <w:spacing w:before="0" w:after="0" w:line="360" w:lineRule="exact"/>
        <w:jc w:val="center"/>
        <w:rPr>
          <w:rFonts w:asciiTheme="minorHAnsi" w:eastAsia="Times New Roman" w:hAnsiTheme="minorHAnsi" w:cs="Times New Roman"/>
          <w:b/>
          <w:u w:val="single"/>
          <w:lang w:eastAsia="fr-FR"/>
        </w:rPr>
      </w:pPr>
      <w:r w:rsidRPr="00CA6FD2">
        <w:rPr>
          <w:rFonts w:asciiTheme="minorHAnsi" w:eastAsia="Times New Roman" w:hAnsiTheme="minorHAnsi" w:cs="Times New Roman"/>
          <w:b/>
          <w:u w:val="single"/>
          <w:lang w:eastAsia="fr-FR"/>
        </w:rPr>
        <w:t>EXTRAITS</w:t>
      </w:r>
    </w:p>
    <w:p w:rsidR="00CA6FD2" w:rsidRDefault="00CA6FD2" w:rsidP="00CA6FD2">
      <w:pPr>
        <w:spacing w:before="0" w:after="0" w:line="360" w:lineRule="exact"/>
        <w:jc w:val="both"/>
        <w:rPr>
          <w:rFonts w:asciiTheme="minorHAnsi" w:eastAsia="Times New Roman" w:hAnsiTheme="minorHAnsi" w:cs="Times New Roman"/>
          <w:lang w:eastAsia="fr-FR"/>
        </w:rPr>
      </w:pPr>
    </w:p>
    <w:p w:rsidR="00CA6FD2" w:rsidRPr="00CA6FD2" w:rsidRDefault="00CA6FD2" w:rsidP="00CA6FD2">
      <w:pPr>
        <w:spacing w:before="0" w:after="0" w:line="360" w:lineRule="exact"/>
        <w:jc w:val="both"/>
        <w:rPr>
          <w:rFonts w:asciiTheme="minorHAnsi" w:eastAsia="Times New Roman" w:hAnsiTheme="minorHAnsi" w:cs="Times New Roman"/>
          <w:lang w:eastAsia="fr-FR"/>
        </w:rPr>
      </w:pPr>
    </w:p>
    <w:p w:rsidR="00CA6FD2" w:rsidRPr="00CA6FD2" w:rsidRDefault="00CA6FD2" w:rsidP="00CA6FD2">
      <w:pPr>
        <w:spacing w:before="0" w:after="0" w:line="360" w:lineRule="exact"/>
        <w:jc w:val="both"/>
        <w:rPr>
          <w:rFonts w:asciiTheme="minorHAnsi" w:eastAsia="Times New Roman" w:hAnsiTheme="minorHAnsi" w:cs="Times New Roman"/>
          <w:lang w:eastAsia="fr-FR"/>
        </w:rPr>
      </w:pPr>
    </w:p>
    <w:p w:rsidR="00CA6FD2" w:rsidRPr="00CA6FD2" w:rsidRDefault="00CA6FD2" w:rsidP="00CA6FD2">
      <w:pPr>
        <w:numPr>
          <w:ilvl w:val="0"/>
          <w:numId w:val="8"/>
        </w:numPr>
        <w:spacing w:before="0" w:after="0" w:line="240" w:lineRule="auto"/>
        <w:ind w:left="1418" w:hanging="567"/>
        <w:jc w:val="both"/>
        <w:rPr>
          <w:rFonts w:asciiTheme="minorHAnsi" w:eastAsia="Times New Roman" w:hAnsiTheme="minorHAnsi" w:cs="Times New Roman"/>
          <w:b/>
          <w:u w:val="single"/>
          <w:lang w:eastAsia="fr-FR"/>
        </w:rPr>
      </w:pPr>
      <w:r w:rsidRPr="00CA6FD2">
        <w:rPr>
          <w:rFonts w:asciiTheme="minorHAnsi" w:eastAsia="Times New Roman" w:hAnsiTheme="minorHAnsi" w:cs="Times New Roman"/>
          <w:b/>
          <w:u w:val="single"/>
          <w:lang w:eastAsia="fr-FR"/>
        </w:rPr>
        <w:t>LOI 13.00</w:t>
      </w:r>
    </w:p>
    <w:p w:rsidR="00CA6FD2" w:rsidRPr="00CA6FD2" w:rsidRDefault="00CA6FD2" w:rsidP="00CA6FD2">
      <w:pPr>
        <w:spacing w:before="0" w:after="0" w:line="240" w:lineRule="auto"/>
        <w:ind w:left="1418" w:hanging="567"/>
        <w:jc w:val="both"/>
        <w:rPr>
          <w:rFonts w:asciiTheme="minorHAnsi" w:eastAsia="Times New Roman" w:hAnsiTheme="minorHAnsi" w:cs="Times New Roman"/>
          <w:b/>
          <w:u w:val="single"/>
          <w:lang w:eastAsia="fr-FR"/>
        </w:rPr>
      </w:pPr>
    </w:p>
    <w:p w:rsidR="00CA6FD2" w:rsidRPr="00CA6FD2" w:rsidRDefault="00CA6FD2" w:rsidP="00CA6FD2">
      <w:pPr>
        <w:numPr>
          <w:ilvl w:val="0"/>
          <w:numId w:val="8"/>
        </w:numPr>
        <w:spacing w:before="0" w:after="0" w:line="240" w:lineRule="auto"/>
        <w:ind w:left="1418" w:hanging="567"/>
        <w:jc w:val="both"/>
        <w:rPr>
          <w:rFonts w:asciiTheme="minorHAnsi" w:eastAsia="Times New Roman" w:hAnsiTheme="minorHAnsi" w:cs="Times New Roman"/>
          <w:b/>
          <w:u w:val="single"/>
          <w:lang w:eastAsia="fr-FR"/>
        </w:rPr>
      </w:pPr>
      <w:r w:rsidRPr="00CA6FD2">
        <w:rPr>
          <w:rFonts w:asciiTheme="minorHAnsi" w:eastAsiaTheme="minorHAnsi" w:hAnsiTheme="minorHAnsi" w:cstheme="minorBidi"/>
          <w:b/>
          <w:u w:val="single"/>
        </w:rPr>
        <w:t>DECRET N°2-00-1018 DU 21 JUIN 2001 PRIS POUR L'APPLICATION DE LA LOI 13-00</w:t>
      </w:r>
    </w:p>
    <w:p w:rsidR="00CA6FD2" w:rsidRPr="00CA6FD2" w:rsidRDefault="00CA6FD2" w:rsidP="00CA6FD2">
      <w:pPr>
        <w:spacing w:before="0" w:after="0" w:line="240" w:lineRule="auto"/>
        <w:ind w:left="1418" w:hanging="567"/>
        <w:jc w:val="both"/>
        <w:rPr>
          <w:rFonts w:asciiTheme="minorHAnsi" w:eastAsia="Times New Roman" w:hAnsiTheme="minorHAnsi" w:cs="Times New Roman"/>
          <w:b/>
          <w:u w:val="single"/>
          <w:lang w:eastAsia="fr-FR"/>
        </w:rPr>
      </w:pPr>
    </w:p>
    <w:p w:rsidR="00CA6FD2" w:rsidRPr="00CA6FD2" w:rsidRDefault="00CA6FD2" w:rsidP="00CA6FD2">
      <w:pPr>
        <w:numPr>
          <w:ilvl w:val="0"/>
          <w:numId w:val="8"/>
        </w:numPr>
        <w:spacing w:before="0" w:after="0" w:line="240" w:lineRule="auto"/>
        <w:ind w:left="1418" w:hanging="567"/>
        <w:jc w:val="both"/>
        <w:rPr>
          <w:rFonts w:asciiTheme="minorHAnsi" w:eastAsia="Times New Roman" w:hAnsiTheme="minorHAnsi" w:cs="Times New Roman"/>
          <w:b/>
          <w:u w:val="single"/>
          <w:lang w:eastAsia="fr-FR"/>
        </w:rPr>
      </w:pPr>
      <w:r w:rsidRPr="00CA6FD2">
        <w:rPr>
          <w:rFonts w:asciiTheme="minorHAnsi" w:eastAsia="Times New Roman" w:hAnsiTheme="minorHAnsi" w:cs="Times New Roman"/>
          <w:b/>
          <w:u w:val="single"/>
          <w:lang w:eastAsia="fr-FR"/>
        </w:rPr>
        <w:t>ARRETE DU MINISTRE DE L’EMPLOI, DE LA FORMATION PROFESSIONNELLE, DU DEVELOPPEMENT SOCIAL ET DE LA SOLIDARITE N°73-02 DU 16 JANVIER 2002, RELATIF A L’ACCREDITATION DES EFPP.</w:t>
      </w:r>
    </w:p>
    <w:p w:rsidR="00CA6FD2" w:rsidRPr="00CA6FD2" w:rsidRDefault="00CA6FD2" w:rsidP="00CA6FD2">
      <w:pPr>
        <w:spacing w:before="0" w:after="0" w:line="240" w:lineRule="auto"/>
        <w:ind w:left="1418" w:hanging="567"/>
        <w:jc w:val="both"/>
        <w:rPr>
          <w:rFonts w:asciiTheme="minorHAnsi" w:eastAsia="Times New Roman" w:hAnsiTheme="minorHAnsi" w:cs="Times New Roman"/>
          <w:b/>
          <w:u w:val="single"/>
          <w:lang w:eastAsia="fr-FR"/>
        </w:rPr>
      </w:pPr>
    </w:p>
    <w:p w:rsidR="00CA6FD2" w:rsidRPr="00CA6FD2" w:rsidRDefault="00CA6FD2" w:rsidP="00CA6FD2">
      <w:pPr>
        <w:numPr>
          <w:ilvl w:val="0"/>
          <w:numId w:val="8"/>
        </w:numPr>
        <w:spacing w:before="0" w:after="0" w:line="240" w:lineRule="auto"/>
        <w:ind w:left="1418" w:hanging="567"/>
        <w:jc w:val="both"/>
        <w:rPr>
          <w:rFonts w:asciiTheme="minorHAnsi" w:eastAsia="Times New Roman" w:hAnsiTheme="minorHAnsi" w:cs="Times New Roman"/>
          <w:b/>
          <w:u w:val="single"/>
          <w:lang w:eastAsia="fr-FR"/>
        </w:rPr>
      </w:pPr>
      <w:r w:rsidRPr="00CA6FD2">
        <w:rPr>
          <w:rFonts w:asciiTheme="minorHAnsi" w:eastAsia="Times New Roman" w:hAnsiTheme="minorHAnsi" w:cstheme="minorBidi"/>
          <w:b/>
          <w:u w:val="single"/>
          <w:lang w:eastAsia="fr-FR"/>
        </w:rPr>
        <w:t>PROCEDURE D’</w:t>
      </w:r>
      <w:r w:rsidRPr="00CA6FD2">
        <w:rPr>
          <w:rFonts w:asciiTheme="minorHAnsi" w:eastAsia="Times New Roman" w:hAnsiTheme="minorHAnsi" w:cs="Times New Roman"/>
          <w:b/>
          <w:u w:val="single"/>
          <w:lang w:eastAsia="fr-FR"/>
        </w:rPr>
        <w:t>ACCREDITATION DES EFPP :</w:t>
      </w:r>
      <w:r w:rsidRPr="00CA6FD2">
        <w:rPr>
          <w:rFonts w:asciiTheme="minorHAnsi" w:eastAsia="Times New Roman" w:hAnsiTheme="minorHAnsi" w:cstheme="minorBidi"/>
          <w:b/>
          <w:u w:val="single"/>
          <w:lang w:eastAsia="fr-FR"/>
        </w:rPr>
        <w:t xml:space="preserve"> REGLEMENT DES EXAMENS</w:t>
      </w:r>
    </w:p>
    <w:p w:rsidR="00CA6FD2" w:rsidRPr="00CA6FD2" w:rsidRDefault="00CA6FD2" w:rsidP="00CA6FD2">
      <w:pPr>
        <w:spacing w:before="0" w:after="0" w:line="240" w:lineRule="auto"/>
        <w:jc w:val="both"/>
        <w:rPr>
          <w:rFonts w:asciiTheme="minorHAnsi" w:eastAsia="Times New Roman" w:hAnsiTheme="minorHAnsi" w:cstheme="minorBidi"/>
          <w:b/>
          <w:u w:val="single"/>
          <w:lang w:eastAsia="fr-FR"/>
        </w:rPr>
      </w:pPr>
    </w:p>
    <w:p w:rsidR="00CA6FD2" w:rsidRPr="00CA6FD2" w:rsidRDefault="00CA6FD2" w:rsidP="00CA6FD2">
      <w:pPr>
        <w:spacing w:before="0" w:after="0" w:line="360" w:lineRule="exact"/>
        <w:jc w:val="both"/>
        <w:rPr>
          <w:rFonts w:asciiTheme="minorHAnsi" w:eastAsia="Times New Roman" w:hAnsiTheme="minorHAnsi" w:cs="Times New Roman"/>
          <w:lang w:eastAsia="fr-FR"/>
        </w:rPr>
      </w:pPr>
    </w:p>
    <w:p w:rsidR="00CA6FD2" w:rsidRPr="00CA6FD2" w:rsidRDefault="00CA6FD2" w:rsidP="00CA6FD2">
      <w:pPr>
        <w:spacing w:before="0" w:after="0" w:line="240" w:lineRule="auto"/>
        <w:jc w:val="center"/>
        <w:rPr>
          <w:rFonts w:asciiTheme="minorHAnsi" w:eastAsiaTheme="minorHAnsi" w:hAnsiTheme="minorHAnsi" w:cstheme="minorBidi"/>
          <w:b/>
          <w:u w:val="single"/>
        </w:rPr>
      </w:pPr>
      <w:r w:rsidRPr="00CA6FD2">
        <w:rPr>
          <w:rFonts w:asciiTheme="minorHAnsi" w:eastAsia="Times New Roman" w:hAnsiTheme="minorHAnsi" w:cs="Times New Roman"/>
          <w:lang w:eastAsia="fr-FR"/>
        </w:rPr>
        <w:br w:type="page"/>
      </w:r>
      <w:r w:rsidRPr="00CA6FD2">
        <w:rPr>
          <w:rFonts w:asciiTheme="minorHAnsi" w:eastAsiaTheme="minorHAnsi" w:hAnsiTheme="minorHAnsi" w:cstheme="minorBidi"/>
          <w:b/>
          <w:u w:val="single"/>
        </w:rPr>
        <w:lastRenderedPageBreak/>
        <w:t>LOI 13.00</w:t>
      </w:r>
    </w:p>
    <w:p w:rsidR="00CA6FD2" w:rsidRPr="00CA6FD2" w:rsidRDefault="00CA6FD2" w:rsidP="00CA6FD2">
      <w:pPr>
        <w:spacing w:before="0" w:after="0" w:line="240" w:lineRule="auto"/>
        <w:jc w:val="both"/>
        <w:rPr>
          <w:rFonts w:asciiTheme="minorHAnsi" w:eastAsiaTheme="minorHAnsi" w:hAnsiTheme="minorHAnsi" w:cstheme="minorBidi"/>
        </w:rPr>
      </w:pPr>
    </w:p>
    <w:p w:rsidR="00CA6FD2" w:rsidRPr="00CA6FD2" w:rsidRDefault="00CA6FD2" w:rsidP="00CA6FD2">
      <w:pPr>
        <w:spacing w:before="0" w:after="0" w:line="240" w:lineRule="auto"/>
        <w:jc w:val="both"/>
        <w:rPr>
          <w:rFonts w:asciiTheme="minorHAnsi" w:eastAsiaTheme="minorHAnsi" w:hAnsiTheme="minorHAnsi" w:cstheme="minorBidi"/>
          <w:b/>
          <w:u w:val="single"/>
        </w:rPr>
      </w:pPr>
      <w:r w:rsidRPr="00CA6FD2">
        <w:rPr>
          <w:rFonts w:asciiTheme="minorHAnsi" w:eastAsiaTheme="minorHAnsi" w:hAnsiTheme="minorHAnsi" w:cstheme="minorBidi"/>
          <w:b/>
          <w:u w:val="single"/>
        </w:rPr>
        <w:t>EXTRAITS :</w:t>
      </w:r>
    </w:p>
    <w:p w:rsidR="00CA6FD2" w:rsidRPr="00CA6FD2" w:rsidRDefault="00CA6FD2" w:rsidP="00CA6FD2">
      <w:pPr>
        <w:spacing w:before="0" w:after="0" w:line="240" w:lineRule="auto"/>
        <w:jc w:val="both"/>
        <w:rPr>
          <w:rFonts w:asciiTheme="minorHAnsi" w:eastAsiaTheme="minorHAnsi" w:hAnsiTheme="minorHAnsi" w:cstheme="minorBidi"/>
          <w:b/>
        </w:rPr>
      </w:pPr>
    </w:p>
    <w:p w:rsidR="00CA6FD2" w:rsidRPr="00CA6FD2" w:rsidRDefault="00CA6FD2" w:rsidP="00CA6FD2">
      <w:pPr>
        <w:spacing w:before="0" w:after="0" w:line="240" w:lineRule="auto"/>
        <w:jc w:val="both"/>
        <w:rPr>
          <w:rFonts w:asciiTheme="minorHAnsi" w:eastAsiaTheme="minorHAnsi" w:hAnsiTheme="minorHAnsi" w:cstheme="minorBidi"/>
          <w:b/>
        </w:rPr>
      </w:pPr>
      <w:r w:rsidRPr="00CA6FD2">
        <w:rPr>
          <w:rFonts w:asciiTheme="minorHAnsi" w:eastAsiaTheme="minorHAnsi" w:hAnsiTheme="minorHAnsi" w:cstheme="minorBidi"/>
          <w:b/>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i/>
        </w:rPr>
      </w:pPr>
      <w:r w:rsidRPr="00CA6FD2">
        <w:rPr>
          <w:rFonts w:asciiTheme="minorHAnsi" w:eastAsiaTheme="minorHAnsi" w:hAnsiTheme="minorHAnsi" w:cs="ArialNarrow"/>
          <w:b/>
          <w:i/>
        </w:rPr>
        <w:t xml:space="preserve">CHAPITRE 3 : Qualification des filières de formation et accréditation des établissements </w:t>
      </w:r>
      <w:r w:rsidRPr="00CA6FD2">
        <w:rPr>
          <w:rFonts w:asciiTheme="minorHAnsi" w:eastAsiaTheme="minorHAnsi" w:hAnsiTheme="minorHAnsi" w:cs="ArialNarrow"/>
          <w:b/>
          <w:i/>
        </w:rPr>
        <w:tab/>
      </w:r>
      <w:r w:rsidRPr="00CA6FD2">
        <w:rPr>
          <w:rFonts w:asciiTheme="minorHAnsi" w:eastAsiaTheme="minorHAnsi" w:hAnsiTheme="minorHAnsi" w:cs="ArialNarrow"/>
          <w:b/>
          <w:i/>
        </w:rPr>
        <w:tab/>
        <w:t>de formation professionnelle privée</w:t>
      </w:r>
    </w:p>
    <w:p w:rsidR="00CA6FD2" w:rsidRPr="00CA6FD2"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rPr>
      </w:pPr>
      <w:r w:rsidRPr="00CA6FD2">
        <w:rPr>
          <w:rFonts w:asciiTheme="minorHAnsi" w:eastAsiaTheme="minorHAnsi" w:hAnsiTheme="minorHAnsi" w:cs="ArialNarrow"/>
          <w:b/>
          <w:i/>
        </w:rPr>
        <w:t>Section II : Accréditation des établissements de formation professionnelle privée</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Bold"/>
          <w:b/>
          <w:bCs/>
          <w:i/>
        </w:rPr>
      </w:pPr>
      <w:r w:rsidRPr="00CA6FD2">
        <w:rPr>
          <w:rFonts w:asciiTheme="minorHAnsi" w:eastAsiaTheme="minorHAnsi" w:hAnsiTheme="minorHAnsi" w:cs="ArialNarrow,Bold"/>
          <w:b/>
          <w:bCs/>
          <w:i/>
        </w:rPr>
        <w:t>Art. 13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L'administration accrédite les établissements de formation professionnelle privée selon les conditions définies à l'article 14 de la présente loi. On entend par « accréditation des établissements de formation professionnelle privée » le fait d'autoriser ces établissements à organiser des examens, conformément à l'article 31 ci-dessous, au profit des stagiaires ayant suivi leur formation dans ces établissements et délivrer des diplômes.</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Bold"/>
          <w:b/>
          <w:bCs/>
          <w:i/>
        </w:rPr>
      </w:pPr>
      <w:r w:rsidRPr="00CA6FD2">
        <w:rPr>
          <w:rFonts w:asciiTheme="minorHAnsi" w:eastAsiaTheme="minorHAnsi" w:hAnsiTheme="minorHAnsi" w:cs="ArialNarrow,Bold"/>
          <w:b/>
          <w:bCs/>
          <w:i/>
        </w:rPr>
        <w:t>Art. 14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Peuvent bénéficier de l'accréditation, les établissements de formation professionnelle privée qui :</w:t>
      </w:r>
    </w:p>
    <w:p w:rsidR="00CA6FD2" w:rsidRPr="00CA6FD2" w:rsidRDefault="00CA6FD2" w:rsidP="00CA6FD2">
      <w:pPr>
        <w:numPr>
          <w:ilvl w:val="0"/>
          <w:numId w:val="9"/>
        </w:numPr>
        <w:autoSpaceDE w:val="0"/>
        <w:autoSpaceDN w:val="0"/>
        <w:adjustRightInd w:val="0"/>
        <w:spacing w:before="0" w:after="0" w:line="240" w:lineRule="auto"/>
        <w:ind w:left="709"/>
        <w:contextualSpacing/>
        <w:jc w:val="both"/>
        <w:rPr>
          <w:rFonts w:asciiTheme="minorHAnsi" w:eastAsiaTheme="minorHAnsi" w:hAnsiTheme="minorHAnsi" w:cs="ArialNarrow"/>
          <w:i/>
        </w:rPr>
      </w:pPr>
      <w:r w:rsidRPr="00CA6FD2">
        <w:rPr>
          <w:rFonts w:asciiTheme="minorHAnsi" w:eastAsiaTheme="minorHAnsi" w:hAnsiTheme="minorHAnsi" w:cs="ArialNarrow"/>
          <w:i/>
        </w:rPr>
        <w:t>sont dans une situation régulière eu égard aux obligations réglementaires et administratives découlant de la présente loi ;</w:t>
      </w:r>
    </w:p>
    <w:p w:rsidR="00CA6FD2" w:rsidRPr="00CA6FD2" w:rsidRDefault="00CA6FD2" w:rsidP="00CA6FD2">
      <w:pPr>
        <w:numPr>
          <w:ilvl w:val="0"/>
          <w:numId w:val="9"/>
        </w:numPr>
        <w:autoSpaceDE w:val="0"/>
        <w:autoSpaceDN w:val="0"/>
        <w:adjustRightInd w:val="0"/>
        <w:spacing w:before="0" w:after="0" w:line="240" w:lineRule="auto"/>
        <w:ind w:left="709"/>
        <w:contextualSpacing/>
        <w:jc w:val="both"/>
        <w:rPr>
          <w:rFonts w:asciiTheme="minorHAnsi" w:eastAsiaTheme="minorHAnsi" w:hAnsiTheme="minorHAnsi" w:cs="ArialNarrow"/>
          <w:i/>
        </w:rPr>
      </w:pPr>
      <w:r w:rsidRPr="00CA6FD2">
        <w:rPr>
          <w:rFonts w:asciiTheme="minorHAnsi" w:eastAsiaTheme="minorHAnsi" w:hAnsiTheme="minorHAnsi" w:cs="ArialNarrow"/>
          <w:i/>
        </w:rPr>
        <w:t>ont obtenu la qualification de l'ensemble des filières de formation dispensées effectivement depuis 3 ans au moins ;</w:t>
      </w:r>
    </w:p>
    <w:p w:rsidR="00CA6FD2" w:rsidRPr="00CA6FD2" w:rsidRDefault="00CA6FD2" w:rsidP="00CA6FD2">
      <w:pPr>
        <w:numPr>
          <w:ilvl w:val="0"/>
          <w:numId w:val="9"/>
        </w:numPr>
        <w:autoSpaceDE w:val="0"/>
        <w:autoSpaceDN w:val="0"/>
        <w:adjustRightInd w:val="0"/>
        <w:spacing w:before="0" w:after="0" w:line="240" w:lineRule="auto"/>
        <w:ind w:left="709"/>
        <w:contextualSpacing/>
        <w:jc w:val="both"/>
        <w:rPr>
          <w:rFonts w:asciiTheme="minorHAnsi" w:eastAsiaTheme="minorHAnsi" w:hAnsiTheme="minorHAnsi" w:cs="ArialNarrow"/>
          <w:i/>
        </w:rPr>
      </w:pPr>
      <w:r w:rsidRPr="00CA6FD2">
        <w:rPr>
          <w:rFonts w:asciiTheme="minorHAnsi" w:eastAsiaTheme="minorHAnsi" w:hAnsiTheme="minorHAnsi" w:cs="ArialNarrow"/>
          <w:i/>
        </w:rPr>
        <w:t>se conforment aux règles d'organisation et de gestion des examens fixées par l'administration.</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La procédure et les conditions d'accréditation sont fixées par voie réglementaire.</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L'accréditation est accordée par l'administration, pour une durée n'excédant pas cinq années. Elle peut-être retirée par décision motivée de l'administration.</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rPr>
      </w:pPr>
      <w:r w:rsidRPr="00CA6FD2">
        <w:rPr>
          <w:rFonts w:asciiTheme="minorHAnsi" w:eastAsiaTheme="minorHAnsi" w:hAnsiTheme="minorHAnsi" w:cs="ArialNarrow"/>
          <w:b/>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pP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rPr>
      </w:pPr>
      <w:r w:rsidRPr="00CA6FD2">
        <w:rPr>
          <w:rFonts w:asciiTheme="minorHAnsi" w:eastAsiaTheme="minorHAnsi" w:hAnsiTheme="minorHAnsi" w:cs="ArialNarrow"/>
          <w:b/>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i/>
        </w:rPr>
      </w:pPr>
      <w:r w:rsidRPr="00CA6FD2">
        <w:rPr>
          <w:rFonts w:asciiTheme="minorHAnsi" w:eastAsiaTheme="minorHAnsi" w:hAnsiTheme="minorHAnsi" w:cs="ArialNarrow"/>
          <w:b/>
          <w:i/>
        </w:rPr>
        <w:t>CHAPITRE 7 : Système d'évaluation et de contrôle</w:t>
      </w:r>
    </w:p>
    <w:p w:rsidR="00CA6FD2" w:rsidRPr="00CA6FD2"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rPr>
      </w:pPr>
      <w:r w:rsidRPr="00CA6FD2">
        <w:rPr>
          <w:rFonts w:asciiTheme="minorHAnsi" w:eastAsiaTheme="minorHAnsi" w:hAnsiTheme="minorHAnsi" w:cs="ArialNarrow"/>
          <w:b/>
          <w:i/>
        </w:rPr>
        <w:t>Section premier : Examen et diplômes</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31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établissements de formation professionnelle privée accrédités organisent des examens au profit de leur stagiaire conformément aux conditions prévues au chapitre 3 de la présente loi.</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 xml:space="preserve">Ils doivent s'engager à appliquer la méthodologie d'évaluation des stagiaires basée, pour la partie pratique, sur des examens supervisés par des </w:t>
      </w:r>
      <w:proofErr w:type="gramStart"/>
      <w:r w:rsidRPr="00CA6FD2">
        <w:rPr>
          <w:rFonts w:asciiTheme="minorHAnsi" w:eastAsiaTheme="minorHAnsi" w:hAnsiTheme="minorHAnsi" w:cs="ArialNarrow"/>
          <w:i/>
        </w:rPr>
        <w:t>jury</w:t>
      </w:r>
      <w:proofErr w:type="gramEnd"/>
      <w:r w:rsidRPr="00CA6FD2">
        <w:rPr>
          <w:rFonts w:asciiTheme="minorHAnsi" w:eastAsiaTheme="minorHAnsi" w:hAnsiTheme="minorHAnsi" w:cs="ArialNarrow"/>
          <w:i/>
        </w:rPr>
        <w:t xml:space="preserve"> auxquels la participation de professionnels est obligatoire et sur les contrôles continus et l'évaluation finale.</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mesures d'application de ces dispositions sont fixées par voie réglementaire.</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32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établissements de formation professionnelle privée accrédités délivrent, au terme de la formation, des diplômes, conformément aux conditions et modèle définis par voie réglementaire. Il sera mentionné dans ces diplômes, signés obligatoirement par le président du jury des examens, le niveau et la spécialité de formation ainsi que le nom de l'établissement concerné.</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visa de ces diplômes par l'administration constitue leur reconnaissance par l'Etat.</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33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diplômes reconnus par l'Etat, confèrent à leurs titulaires les mêmes droits conférés, en vertu de la législation et de la réglementation en vigueur, aux titulaires des diplômes correspondants, délivrés par les établissements de formation professionnelle du secteur public.</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rPr>
      </w:pPr>
      <w:r w:rsidRPr="00CA6FD2">
        <w:rPr>
          <w:rFonts w:asciiTheme="minorHAnsi" w:eastAsiaTheme="minorHAnsi" w:hAnsiTheme="minorHAnsi" w:cs="ArialNarrow"/>
          <w:b/>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pP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pPr>
    </w:p>
    <w:p w:rsidR="00CA6FD2" w:rsidRDefault="00CA6FD2">
      <w:pPr>
        <w:spacing w:after="0" w:line="240" w:lineRule="auto"/>
        <w:rPr>
          <w:rFonts w:asciiTheme="minorHAnsi" w:eastAsiaTheme="minorHAnsi" w:hAnsiTheme="minorHAnsi" w:cstheme="minorBidi"/>
          <w:b/>
          <w:u w:val="single"/>
        </w:rPr>
      </w:pPr>
      <w:r>
        <w:rPr>
          <w:rFonts w:asciiTheme="minorHAnsi" w:eastAsiaTheme="minorHAnsi" w:hAnsiTheme="minorHAnsi" w:cstheme="minorBidi"/>
          <w:b/>
          <w:u w:val="single"/>
        </w:rPr>
        <w:br w:type="page"/>
      </w:r>
    </w:p>
    <w:p w:rsidR="00CA6FD2" w:rsidRPr="00CA6FD2" w:rsidRDefault="00CA6FD2" w:rsidP="00CA6FD2">
      <w:pPr>
        <w:spacing w:before="0" w:after="0" w:line="240" w:lineRule="auto"/>
        <w:jc w:val="both"/>
        <w:rPr>
          <w:rFonts w:asciiTheme="minorHAnsi" w:eastAsiaTheme="minorHAnsi" w:hAnsiTheme="minorHAnsi" w:cstheme="minorBidi"/>
          <w:b/>
          <w:u w:val="single"/>
        </w:rPr>
      </w:pPr>
      <w:r w:rsidRPr="00CA6FD2">
        <w:rPr>
          <w:rFonts w:asciiTheme="minorHAnsi" w:eastAsiaTheme="minorHAnsi" w:hAnsiTheme="minorHAnsi" w:cstheme="minorBidi"/>
          <w:b/>
          <w:u w:val="single"/>
        </w:rPr>
        <w:lastRenderedPageBreak/>
        <w:t>DECRET N°2-00-1018 DU 21 JUIN 2001 PRIS POUR L'APPLICATION DE LA LOI 13-00</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pP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rPr>
      </w:pPr>
      <w:r w:rsidRPr="00CA6FD2">
        <w:rPr>
          <w:rFonts w:asciiTheme="minorHAnsi" w:eastAsiaTheme="minorHAnsi" w:hAnsiTheme="minorHAnsi" w:cs="ArialNarrow"/>
          <w:b/>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i/>
        </w:rPr>
      </w:pPr>
      <w:r w:rsidRPr="00CA6FD2">
        <w:rPr>
          <w:rFonts w:asciiTheme="minorHAnsi" w:eastAsiaTheme="minorHAnsi" w:hAnsiTheme="minorHAnsi" w:cs="ArialNarrow"/>
          <w:b/>
          <w:i/>
        </w:rPr>
        <w:t>CHAPITRE PREMIER : Dispositions générales</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7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 xml:space="preserve">L'autorité gouvernementale chargée de la formation professionnelle est habilitée à octroyer et à retirer l'accréditation des établissements de formation professionnelle privée, après avis des commissions nationales sectorielles de la formation professionnelle privée visées à l'article 21 du présent décret, ainsi qu'à viser les diplômes des établissements accrédités.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La procédure et les conditions d'accréditation, d'organisation des examens et de visa des diplômes délivrés par les établissements accrédités, ainsi que le modèle du diplôme à délivrer, sont définies par arrêté de l'autorité gouvernementale chargée de la formation professionnelle, qui fixe notamment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la composition du jury d'examen, désigné par décision de l'autorité gouvernementale chargée de la formation professionnelle,  sur proposition de l'établissement concerné et constitué, pour la moitié au moins de ses membres, de professionnels externes à l'établissement. Le président du jury d'examen est choisi parmi les membres externes à l'établissement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les conditions de visa des diplômes par l'autorité gouvernementale chargée de la formation professionnelle, notamment la participation d'un représentant de ladite autorité en qualité de membre au jury d'examens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les missions et le rôle du jury d'examen dont, notamment :</w:t>
      </w:r>
    </w:p>
    <w:p w:rsidR="00CA6FD2" w:rsidRPr="00CA6FD2"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rPr>
      </w:pPr>
      <w:r w:rsidRPr="00CA6FD2">
        <w:rPr>
          <w:rFonts w:asciiTheme="minorHAnsi" w:eastAsiaTheme="minorHAnsi" w:hAnsiTheme="minorHAnsi" w:cs="ArialNarrow"/>
          <w:i/>
        </w:rPr>
        <w:t>le choix des épreuves d'examen ;</w:t>
      </w:r>
    </w:p>
    <w:p w:rsidR="00CA6FD2" w:rsidRPr="00CA6FD2"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rPr>
      </w:pPr>
      <w:r w:rsidRPr="00CA6FD2">
        <w:rPr>
          <w:rFonts w:asciiTheme="minorHAnsi" w:eastAsiaTheme="minorHAnsi" w:hAnsiTheme="minorHAnsi" w:cs="ArialNarrow"/>
          <w:i/>
        </w:rPr>
        <w:t>la validation du système de notation ;</w:t>
      </w:r>
    </w:p>
    <w:p w:rsidR="00CA6FD2" w:rsidRPr="00CA6FD2"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rPr>
      </w:pPr>
      <w:r w:rsidRPr="00CA6FD2">
        <w:rPr>
          <w:rFonts w:asciiTheme="minorHAnsi" w:eastAsiaTheme="minorHAnsi" w:hAnsiTheme="minorHAnsi" w:cs="ArialNarrow"/>
          <w:i/>
        </w:rPr>
        <w:t>la supervision du déroulement des examens ;</w:t>
      </w:r>
    </w:p>
    <w:p w:rsidR="00CA6FD2" w:rsidRPr="00CA6FD2"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rPr>
      </w:pPr>
      <w:r w:rsidRPr="00CA6FD2">
        <w:rPr>
          <w:rFonts w:asciiTheme="minorHAnsi" w:eastAsiaTheme="minorHAnsi" w:hAnsiTheme="minorHAnsi" w:cs="ArialNarrow"/>
          <w:i/>
        </w:rPr>
        <w:t>la proclamation des résultats.</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rPr>
      </w:pPr>
      <w:r w:rsidRPr="00CA6FD2">
        <w:rPr>
          <w:rFonts w:asciiTheme="minorHAnsi" w:eastAsiaTheme="minorHAnsi" w:hAnsiTheme="minorHAnsi" w:cs="ArialNarrow"/>
          <w:b/>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pPr>
    </w:p>
    <w:p w:rsidR="00CA6FD2" w:rsidRPr="00CA6FD2" w:rsidRDefault="00CA6FD2" w:rsidP="00CA6FD2">
      <w:pPr>
        <w:spacing w:before="0" w:after="0" w:line="240" w:lineRule="auto"/>
        <w:rPr>
          <w:rFonts w:asciiTheme="minorHAnsi" w:eastAsiaTheme="minorHAnsi" w:hAnsiTheme="minorHAnsi" w:cs="ArialNarrow"/>
        </w:rPr>
      </w:pPr>
      <w:r w:rsidRPr="00CA6FD2">
        <w:rPr>
          <w:rFonts w:asciiTheme="minorHAnsi" w:eastAsiaTheme="minorHAnsi" w:hAnsiTheme="minorHAnsi" w:cs="ArialNarrow"/>
        </w:rPr>
        <w:br w:type="page"/>
      </w:r>
    </w:p>
    <w:p w:rsidR="00CA6FD2" w:rsidRPr="00CA6FD2" w:rsidRDefault="00CA6FD2" w:rsidP="00CA6FD2">
      <w:pPr>
        <w:spacing w:before="0" w:after="0" w:line="240" w:lineRule="auto"/>
        <w:jc w:val="both"/>
        <w:rPr>
          <w:rFonts w:asciiTheme="minorHAnsi" w:eastAsiaTheme="minorHAnsi" w:hAnsiTheme="minorHAnsi" w:cstheme="minorBidi"/>
          <w:b/>
          <w:u w:val="single"/>
        </w:rPr>
      </w:pPr>
      <w:r w:rsidRPr="00CA6FD2">
        <w:rPr>
          <w:rFonts w:asciiTheme="minorHAnsi" w:eastAsiaTheme="minorHAnsi" w:hAnsiTheme="minorHAnsi" w:cstheme="minorBidi"/>
          <w:b/>
          <w:u w:val="single"/>
        </w:rPr>
        <w:lastRenderedPageBreak/>
        <w:t>ARRETE DU MINISTRE DE L’EMPLOI, DE LA FORMATION PROFESSIONNELLE, DU DEVELOPPEMENT SOCIAL ET DE LA SOLIDARITE N°73-02 DU 16 JANVIER 2002, RELATIF A L’ACCREDITATION DES EFPP.</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rPr>
      </w:pPr>
    </w:p>
    <w:p w:rsidR="00CA6FD2" w:rsidRPr="00CA6FD2" w:rsidRDefault="00CA6FD2" w:rsidP="00CA6FD2">
      <w:pPr>
        <w:spacing w:before="0" w:after="0" w:line="240" w:lineRule="auto"/>
        <w:jc w:val="both"/>
        <w:rPr>
          <w:rFonts w:asciiTheme="minorHAnsi" w:eastAsiaTheme="minorHAnsi" w:hAnsiTheme="minorHAnsi" w:cstheme="minorBidi"/>
          <w:b/>
          <w:u w:val="single"/>
        </w:rPr>
      </w:pPr>
      <w:r w:rsidRPr="00CA6FD2">
        <w:rPr>
          <w:rFonts w:asciiTheme="minorHAnsi" w:eastAsiaTheme="minorHAnsi" w:hAnsiTheme="minorHAnsi" w:cstheme="minorBidi"/>
          <w:b/>
          <w:u w:val="single"/>
        </w:rPr>
        <w:t>EXTRAITS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rPr>
      </w:pPr>
      <w:r w:rsidRPr="00CA6FD2">
        <w:rPr>
          <w:rFonts w:asciiTheme="minorHAnsi" w:eastAsiaTheme="minorHAnsi" w:hAnsiTheme="minorHAnsi" w:cs="ArialNarrow"/>
          <w:b/>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i/>
        </w:rPr>
      </w:pPr>
      <w:r w:rsidRPr="00CA6FD2">
        <w:rPr>
          <w:rFonts w:asciiTheme="minorHAnsi" w:eastAsiaTheme="minorHAnsi" w:hAnsiTheme="minorHAnsi" w:cs="ArialNarrow"/>
          <w:b/>
          <w:i/>
        </w:rPr>
        <w:t>Chapitre premier : Dispositions générales</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1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présent arrêté définit la procédure et les conditions d’accréditation des établissements de formation professionnelle privées, prévues à l’article 14 de la loi n° 13-00 portant statut de la formation professionnelle privée, ainsi que les conditions d’organisation des examens et de visa des diplômes et certificats délivrés par les établissements de formation professionnelle privée.</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2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Conformément aux dispositions de l’article 14 de la loi n° 13-00 précitée, tout établissement de formation professionnelle privée peut présenter sa demande d’accréditation s’il :</w:t>
      </w:r>
    </w:p>
    <w:p w:rsidR="00CA6FD2" w:rsidRPr="00CA6FD2" w:rsidRDefault="00CA6FD2" w:rsidP="00CA6FD2">
      <w:pPr>
        <w:numPr>
          <w:ilvl w:val="0"/>
          <w:numId w:val="10"/>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est dans une situation régulière ou égard aux obligations réglementaires et administratives découlant de la loi n°13-00 précitée ;</w:t>
      </w:r>
    </w:p>
    <w:p w:rsidR="00CA6FD2" w:rsidRPr="00CA6FD2" w:rsidRDefault="00CA6FD2" w:rsidP="00CA6FD2">
      <w:pPr>
        <w:numPr>
          <w:ilvl w:val="0"/>
          <w:numId w:val="10"/>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a obtenu la qualification de l’ensemble des filières de formation dispensées effectivement depuis trois ans au moins.</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i/>
        </w:rPr>
      </w:pP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i/>
        </w:rPr>
      </w:pPr>
      <w:r w:rsidRPr="00CA6FD2">
        <w:rPr>
          <w:rFonts w:asciiTheme="minorHAnsi" w:eastAsiaTheme="minorHAnsi" w:hAnsiTheme="minorHAnsi" w:cs="ArialNarrow"/>
          <w:b/>
          <w:i/>
        </w:rPr>
        <w:t>Chapitre II : De l’accréditation</w:t>
      </w:r>
    </w:p>
    <w:p w:rsidR="00CA6FD2" w:rsidRPr="00CA6FD2"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rPr>
      </w:pPr>
      <w:r w:rsidRPr="00CA6FD2">
        <w:rPr>
          <w:rFonts w:asciiTheme="minorHAnsi" w:eastAsiaTheme="minorHAnsi" w:hAnsiTheme="minorHAnsi" w:cs="ArialNarrow"/>
          <w:b/>
          <w:i/>
        </w:rPr>
        <w:t>Section première : Dépôt du dossier de demande d’accréditation</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3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dossier de demande d’accréditation, composé des documents et pièces énumérés à l’article 4 ci-dessous, est déposé en deux exemplaires, contre récépissé, auprès du service extérieur du département de la formation professionnelle dans le ressort territorial duquel se trouve l’établissement.</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dossier de demande d’accréditation doit être déposé avant la fin du mois de décembre.</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4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dossier de demande d’accréditation comprend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une demande du directeur de l’établissement de formation professionnelle privée concerné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un dossier docimologique comprenant :</w:t>
      </w:r>
    </w:p>
    <w:p w:rsidR="00CA6FD2" w:rsidRPr="00CA6FD2" w:rsidRDefault="00CA6FD2" w:rsidP="00CA6FD2">
      <w:pPr>
        <w:numPr>
          <w:ilvl w:val="0"/>
          <w:numId w:val="12"/>
        </w:numPr>
        <w:autoSpaceDE w:val="0"/>
        <w:autoSpaceDN w:val="0"/>
        <w:adjustRightInd w:val="0"/>
        <w:spacing w:before="0" w:after="0" w:line="240" w:lineRule="auto"/>
        <w:ind w:left="993" w:hanging="284"/>
        <w:contextualSpacing/>
        <w:jc w:val="both"/>
        <w:rPr>
          <w:rFonts w:asciiTheme="minorHAnsi" w:eastAsiaTheme="minorHAnsi" w:hAnsiTheme="minorHAnsi" w:cs="ArialNarrow"/>
          <w:i/>
        </w:rPr>
      </w:pPr>
      <w:r w:rsidRPr="00CA6FD2">
        <w:rPr>
          <w:rFonts w:asciiTheme="minorHAnsi" w:eastAsiaTheme="minorHAnsi" w:hAnsiTheme="minorHAnsi" w:cs="ArialNarrow"/>
          <w:i/>
        </w:rPr>
        <w:t>le descriptif du dispositif d’évaluation établi pour chaque filière de formation, qui doit préciser :</w:t>
      </w:r>
    </w:p>
    <w:p w:rsidR="00CA6FD2" w:rsidRPr="00CA6FD2"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rPr>
      </w:pPr>
      <w:r w:rsidRPr="00CA6FD2">
        <w:rPr>
          <w:rFonts w:asciiTheme="minorHAnsi" w:eastAsiaTheme="minorHAnsi" w:hAnsiTheme="minorHAnsi" w:cs="ArialNarrow"/>
          <w:i/>
        </w:rPr>
        <w:t>les modalités des évaluations intermédiaires et finales ;</w:t>
      </w:r>
    </w:p>
    <w:p w:rsidR="00CA6FD2" w:rsidRPr="00CA6FD2" w:rsidRDefault="00CA6FD2" w:rsidP="00CA6FD2">
      <w:pPr>
        <w:numPr>
          <w:ilvl w:val="0"/>
          <w:numId w:val="11"/>
        </w:numPr>
        <w:autoSpaceDE w:val="0"/>
        <w:autoSpaceDN w:val="0"/>
        <w:adjustRightInd w:val="0"/>
        <w:spacing w:before="0" w:after="0" w:line="240" w:lineRule="auto"/>
        <w:ind w:left="1276"/>
        <w:contextualSpacing/>
        <w:jc w:val="both"/>
        <w:rPr>
          <w:rFonts w:asciiTheme="minorHAnsi" w:eastAsiaTheme="minorHAnsi" w:hAnsiTheme="minorHAnsi" w:cs="ArialNarrow"/>
          <w:i/>
        </w:rPr>
      </w:pPr>
      <w:r w:rsidRPr="00CA6FD2">
        <w:rPr>
          <w:rFonts w:asciiTheme="minorHAnsi" w:eastAsiaTheme="minorHAnsi" w:hAnsiTheme="minorHAnsi" w:cs="ArialNarrow"/>
          <w:i/>
        </w:rPr>
        <w:t>l’organisation et la supervision des évaluations ;</w:t>
      </w:r>
    </w:p>
    <w:p w:rsidR="00CA6FD2" w:rsidRPr="00CA6FD2" w:rsidRDefault="00CA6FD2" w:rsidP="00CA6FD2">
      <w:pPr>
        <w:numPr>
          <w:ilvl w:val="0"/>
          <w:numId w:val="12"/>
        </w:numPr>
        <w:autoSpaceDE w:val="0"/>
        <w:autoSpaceDN w:val="0"/>
        <w:adjustRightInd w:val="0"/>
        <w:spacing w:before="0" w:after="0" w:line="240" w:lineRule="auto"/>
        <w:ind w:left="993" w:hanging="284"/>
        <w:contextualSpacing/>
        <w:jc w:val="both"/>
        <w:rPr>
          <w:rFonts w:asciiTheme="minorHAnsi" w:eastAsiaTheme="minorHAnsi" w:hAnsiTheme="minorHAnsi" w:cs="ArialNarrow"/>
          <w:i/>
        </w:rPr>
      </w:pPr>
      <w:r w:rsidRPr="00CA6FD2">
        <w:rPr>
          <w:rFonts w:asciiTheme="minorHAnsi" w:eastAsiaTheme="minorHAnsi" w:hAnsiTheme="minorHAnsi" w:cs="ArialNarrow"/>
          <w:i/>
        </w:rPr>
        <w:t>la liste et les curriculums vitae du président et des membres proposés pour la constitution du jury d’examen pour chaque groupe de filières relevant du même secteur de formation.</w:t>
      </w:r>
    </w:p>
    <w:p w:rsidR="00CA6FD2" w:rsidRPr="00CA6FD2" w:rsidRDefault="00CA6FD2" w:rsidP="00CA6FD2">
      <w:pPr>
        <w:numPr>
          <w:ilvl w:val="0"/>
          <w:numId w:val="12"/>
        </w:numPr>
        <w:autoSpaceDE w:val="0"/>
        <w:autoSpaceDN w:val="0"/>
        <w:adjustRightInd w:val="0"/>
        <w:spacing w:before="0" w:after="0" w:line="240" w:lineRule="auto"/>
        <w:ind w:left="993" w:hanging="284"/>
        <w:contextualSpacing/>
        <w:jc w:val="both"/>
        <w:rPr>
          <w:rFonts w:asciiTheme="minorHAnsi" w:eastAsiaTheme="minorHAnsi" w:hAnsiTheme="minorHAnsi" w:cs="ArialNarrow"/>
          <w:i/>
        </w:rPr>
      </w:pPr>
      <w:r w:rsidRPr="00CA6FD2">
        <w:rPr>
          <w:rFonts w:asciiTheme="minorHAnsi" w:eastAsiaTheme="minorHAnsi" w:hAnsiTheme="minorHAnsi" w:cs="ArialNarrow"/>
          <w:i/>
        </w:rPr>
        <w:t>Le modèle du livret individuel de formation, qui décrit le cheminement pédagogique de chaque stagiaire et le délai des évaluations effectuées.</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5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L’instruction des dossiers de demande d’accréditation s’effectue comme suit :</w:t>
      </w:r>
    </w:p>
    <w:p w:rsidR="00CA6FD2" w:rsidRPr="00CA6FD2" w:rsidRDefault="00CA6FD2" w:rsidP="00CA6FD2">
      <w:pPr>
        <w:numPr>
          <w:ilvl w:val="0"/>
          <w:numId w:val="14"/>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la réception des pièces constituant le dossier de demande d’accréditation, la vérification des conditions d’éligibilité prévues à l’article 14 de la loi n° 13-00 précitée et la délivrance du récépissé de dépôt du dit dossier, en cas de conformité constatée par le service extérieur du département de la formation professionnelle concerné ;</w:t>
      </w:r>
    </w:p>
    <w:p w:rsidR="00CA6FD2" w:rsidRPr="00CA6FD2" w:rsidRDefault="00CA6FD2" w:rsidP="00CA6FD2">
      <w:pPr>
        <w:numPr>
          <w:ilvl w:val="0"/>
          <w:numId w:val="14"/>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l’élaboration, par l’autorité gouvernementale chargée de la formation professionnelle, d’un rapport d’analyse par dossier qui sera soumis, pour avis, à la commission nationale sectorielle de la formation professionnelle privée concernée, conformément à l’article 15 de la loi n°13-00 précitée ;</w:t>
      </w:r>
    </w:p>
    <w:p w:rsidR="00CA6FD2" w:rsidRPr="00CA6FD2" w:rsidRDefault="00CA6FD2" w:rsidP="00CA6FD2">
      <w:pPr>
        <w:numPr>
          <w:ilvl w:val="0"/>
          <w:numId w:val="14"/>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l’établissement de la liste des établissements de formation professionnelle privée à accréditer par ladite commission.</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i/>
        </w:rPr>
      </w:pPr>
    </w:p>
    <w:p w:rsidR="00CA6FD2" w:rsidRPr="00CA6FD2"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rPr>
      </w:pPr>
      <w:r w:rsidRPr="00CA6FD2">
        <w:rPr>
          <w:rFonts w:asciiTheme="minorHAnsi" w:eastAsiaTheme="minorHAnsi" w:hAnsiTheme="minorHAnsi" w:cs="ArialNarrow"/>
          <w:b/>
          <w:i/>
        </w:rPr>
        <w:lastRenderedPageBreak/>
        <w:t>Section II : Octroi et retrait de l’accréditation</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6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L’accréditation est accordée par décision de l’autorité gouvernementale chargée de la formation professionnelle après avis de la commission nationale sectorielle de la formation professionnelle privée concernée.</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Cette décision, établie au nom de l’établissement de formation privée concerné, doit mentionner les filières et la durée de validité de l’accréditation et doit être notifiée à l’établissement concernée.</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Il appartient à l’établissement accrédité, durant la dernière année de validité de l’accréditation, de procéder au renouvellement de ladite accréditation suivant les règles et procédures décrites dans le présent arrêté.</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7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L’autorité gouvernementale chargée de la formation professionnelle organise, périodiquement, des audits au sein des établissements de formation professionnelle privée pour s’assurer que les engagements sur la base desquels l’accréditation a été octroyée sont respectés.</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8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retrait de l’accréditation s’effectue dans les mêmes formes prévues à l’article 6 ci-dessus.</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i/>
        </w:rPr>
      </w:pP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b/>
          <w:i/>
        </w:rPr>
      </w:pPr>
      <w:r w:rsidRPr="00CA6FD2">
        <w:rPr>
          <w:rFonts w:asciiTheme="minorHAnsi" w:eastAsiaTheme="minorHAnsi" w:hAnsiTheme="minorHAnsi" w:cs="ArialNarrow"/>
          <w:b/>
          <w:i/>
        </w:rPr>
        <w:t xml:space="preserve">Chapitre III : De l’évaluation des stagiaires, du jury, d’examen et de la délivrance et du </w:t>
      </w:r>
      <w:r w:rsidRPr="00CA6FD2">
        <w:rPr>
          <w:rFonts w:asciiTheme="minorHAnsi" w:eastAsiaTheme="minorHAnsi" w:hAnsiTheme="minorHAnsi" w:cs="ArialNarrow"/>
          <w:b/>
          <w:i/>
        </w:rPr>
        <w:tab/>
      </w:r>
      <w:r w:rsidRPr="00CA6FD2">
        <w:rPr>
          <w:rFonts w:asciiTheme="minorHAnsi" w:eastAsiaTheme="minorHAnsi" w:hAnsiTheme="minorHAnsi" w:cs="ArialNarrow"/>
          <w:b/>
          <w:i/>
        </w:rPr>
        <w:tab/>
        <w:t>visa des diplômes et des certificats</w:t>
      </w:r>
    </w:p>
    <w:p w:rsidR="00CA6FD2" w:rsidRPr="00CA6FD2"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rPr>
      </w:pPr>
      <w:r w:rsidRPr="00CA6FD2">
        <w:rPr>
          <w:rFonts w:asciiTheme="minorHAnsi" w:eastAsiaTheme="minorHAnsi" w:hAnsiTheme="minorHAnsi" w:cs="ArialNarrow"/>
          <w:b/>
          <w:i/>
        </w:rPr>
        <w:t>Section première : Evaluation des stagiaires</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9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L’évaluation des stagiaires est basée sur des contrôles continus et un examen de fin de cursus de formation.</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notes des contrôles continus sont attribuées par les formateurs de l’établissement et les notes des épreuves de l’examen de fin de cursus de formation sont attribuées par le jury d’examen.</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notes définitives sont consignées dans le livret individuel de formation et soumis au jury d’examen pour validation et signature.</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10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contrôles continus sont assurés tout au long de la formation des stagiaires par des formateurs à travers des évaluations périodiques. Les sujets des contrôles continus sont répertoriés et présentés au jury d’examen.</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Les contrôles continus comptent pour 30% de la note finale de l’examen de fin de cursus de formation.</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11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L’examen de fin de cursus de formation, qui se déroule sous la supervision du jury d’examen, est composé de trois épreuves :</w:t>
      </w:r>
    </w:p>
    <w:p w:rsidR="00CA6FD2" w:rsidRPr="00CA6FD2" w:rsidRDefault="00CA6FD2" w:rsidP="00CA6FD2">
      <w:pPr>
        <w:numPr>
          <w:ilvl w:val="0"/>
          <w:numId w:val="15"/>
        </w:numPr>
        <w:autoSpaceDE w:val="0"/>
        <w:autoSpaceDN w:val="0"/>
        <w:adjustRightInd w:val="0"/>
        <w:spacing w:before="0" w:after="0" w:line="240" w:lineRule="auto"/>
        <w:ind w:left="993"/>
        <w:contextualSpacing/>
        <w:jc w:val="both"/>
        <w:rPr>
          <w:rFonts w:asciiTheme="minorHAnsi" w:eastAsiaTheme="minorHAnsi" w:hAnsiTheme="minorHAnsi" w:cs="ArialNarrow"/>
          <w:i/>
        </w:rPr>
      </w:pPr>
      <w:r w:rsidRPr="00CA6FD2">
        <w:rPr>
          <w:rFonts w:asciiTheme="minorHAnsi" w:eastAsiaTheme="minorHAnsi" w:hAnsiTheme="minorHAnsi" w:cs="ArialNarrow"/>
          <w:i/>
        </w:rPr>
        <w:t>Une épreuve théorique ;</w:t>
      </w:r>
    </w:p>
    <w:p w:rsidR="00CA6FD2" w:rsidRPr="00CA6FD2" w:rsidRDefault="00CA6FD2" w:rsidP="00CA6FD2">
      <w:pPr>
        <w:numPr>
          <w:ilvl w:val="0"/>
          <w:numId w:val="15"/>
        </w:numPr>
        <w:autoSpaceDE w:val="0"/>
        <w:autoSpaceDN w:val="0"/>
        <w:adjustRightInd w:val="0"/>
        <w:spacing w:before="0" w:after="0" w:line="240" w:lineRule="auto"/>
        <w:ind w:left="993"/>
        <w:contextualSpacing/>
        <w:jc w:val="both"/>
        <w:rPr>
          <w:rFonts w:asciiTheme="minorHAnsi" w:eastAsiaTheme="minorHAnsi" w:hAnsiTheme="minorHAnsi" w:cs="ArialNarrow"/>
          <w:i/>
        </w:rPr>
      </w:pPr>
      <w:r w:rsidRPr="00CA6FD2">
        <w:rPr>
          <w:rFonts w:asciiTheme="minorHAnsi" w:eastAsiaTheme="minorHAnsi" w:hAnsiTheme="minorHAnsi" w:cs="ArialNarrow"/>
          <w:i/>
        </w:rPr>
        <w:t>Une épreuve pratique ;</w:t>
      </w:r>
    </w:p>
    <w:p w:rsidR="00CA6FD2" w:rsidRPr="00CA6FD2" w:rsidRDefault="00CA6FD2" w:rsidP="00CA6FD2">
      <w:pPr>
        <w:numPr>
          <w:ilvl w:val="0"/>
          <w:numId w:val="15"/>
        </w:numPr>
        <w:autoSpaceDE w:val="0"/>
        <w:autoSpaceDN w:val="0"/>
        <w:adjustRightInd w:val="0"/>
        <w:spacing w:before="0" w:after="0" w:line="240" w:lineRule="auto"/>
        <w:ind w:left="993"/>
        <w:contextualSpacing/>
        <w:jc w:val="both"/>
        <w:rPr>
          <w:rFonts w:asciiTheme="minorHAnsi" w:eastAsiaTheme="minorHAnsi" w:hAnsiTheme="minorHAnsi" w:cs="ArialNarrow"/>
          <w:i/>
        </w:rPr>
      </w:pPr>
      <w:r w:rsidRPr="00CA6FD2">
        <w:rPr>
          <w:rFonts w:asciiTheme="minorHAnsi" w:eastAsiaTheme="minorHAnsi" w:hAnsiTheme="minorHAnsi" w:cs="ArialNarrow"/>
          <w:i/>
        </w:rPr>
        <w:t>Une soutenance des résultats des travaux individuels.</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a- L’épreuve théorique valide les savoirs théoriques des stagiaires et compte pour 20% de la note finale de l’examen de fin de cursus de formation.</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b- L’épreuve pratique valide les savoirs- faire des stagiaires et compte pour 30% de la note finale de l’examen de fin de cursus de formation.</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c- La soutenance des résultats des travaux individuels valide les compétences professionnelles soit au cours d’un stage en entreprise, soit par une production personnelle du stagiaire. Elle compte pour 20% de la note finale de l’examen de fin de cursus de formation.</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i/>
        </w:rPr>
      </w:pPr>
    </w:p>
    <w:p w:rsidR="00CA6FD2" w:rsidRDefault="00CA6FD2">
      <w:pPr>
        <w:spacing w:after="0" w:line="240" w:lineRule="auto"/>
        <w:rPr>
          <w:rFonts w:asciiTheme="minorHAnsi" w:eastAsiaTheme="minorHAnsi" w:hAnsiTheme="minorHAnsi" w:cs="ArialNarrow"/>
          <w:b/>
          <w:i/>
          <w:lang w:val="en-US"/>
        </w:rPr>
      </w:pPr>
      <w:r>
        <w:rPr>
          <w:rFonts w:asciiTheme="minorHAnsi" w:eastAsiaTheme="minorHAnsi" w:hAnsiTheme="minorHAnsi" w:cs="ArialNarrow"/>
          <w:b/>
          <w:i/>
          <w:lang w:val="en-US"/>
        </w:rPr>
        <w:br w:type="page"/>
      </w:r>
    </w:p>
    <w:p w:rsidR="00CA6FD2" w:rsidRPr="00CA6FD2" w:rsidRDefault="00CA6FD2" w:rsidP="00CA6FD2">
      <w:pPr>
        <w:autoSpaceDE w:val="0"/>
        <w:autoSpaceDN w:val="0"/>
        <w:adjustRightInd w:val="0"/>
        <w:spacing w:before="0" w:after="0" w:line="240" w:lineRule="auto"/>
        <w:ind w:left="142"/>
        <w:jc w:val="both"/>
        <w:rPr>
          <w:rFonts w:asciiTheme="minorHAnsi" w:eastAsiaTheme="minorHAnsi" w:hAnsiTheme="minorHAnsi" w:cs="ArialNarrow"/>
          <w:b/>
          <w:i/>
          <w:lang w:val="en-US"/>
        </w:rPr>
      </w:pPr>
      <w:r w:rsidRPr="00CA6FD2">
        <w:rPr>
          <w:rFonts w:asciiTheme="minorHAnsi" w:eastAsiaTheme="minorHAnsi" w:hAnsiTheme="minorHAnsi" w:cs="ArialNarrow"/>
          <w:b/>
          <w:i/>
          <w:lang w:val="en-US"/>
        </w:rPr>
        <w:lastRenderedPageBreak/>
        <w:t xml:space="preserve">Section </w:t>
      </w:r>
      <w:proofErr w:type="gramStart"/>
      <w:r w:rsidRPr="00CA6FD2">
        <w:rPr>
          <w:rFonts w:asciiTheme="minorHAnsi" w:eastAsiaTheme="minorHAnsi" w:hAnsiTheme="minorHAnsi" w:cs="ArialNarrow"/>
          <w:b/>
          <w:i/>
          <w:lang w:val="en-US"/>
        </w:rPr>
        <w:t>II :</w:t>
      </w:r>
      <w:proofErr w:type="gramEnd"/>
      <w:r w:rsidRPr="00CA6FD2">
        <w:rPr>
          <w:rFonts w:asciiTheme="minorHAnsi" w:eastAsiaTheme="minorHAnsi" w:hAnsiTheme="minorHAnsi" w:cs="ArialNarrow"/>
          <w:b/>
          <w:i/>
          <w:lang w:val="en-US"/>
        </w:rPr>
        <w:t xml:space="preserve"> Jury </w:t>
      </w:r>
      <w:proofErr w:type="spellStart"/>
      <w:r w:rsidRPr="00CA6FD2">
        <w:rPr>
          <w:rFonts w:asciiTheme="minorHAnsi" w:eastAsiaTheme="minorHAnsi" w:hAnsiTheme="minorHAnsi" w:cs="ArialNarrow"/>
          <w:b/>
          <w:i/>
          <w:lang w:val="en-US"/>
        </w:rPr>
        <w:t>d’examens</w:t>
      </w:r>
      <w:proofErr w:type="spellEnd"/>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lang w:val="en-US"/>
        </w:rPr>
      </w:pPr>
      <w:r w:rsidRPr="00CA6FD2">
        <w:rPr>
          <w:rFonts w:asciiTheme="minorHAnsi" w:eastAsiaTheme="minorHAnsi" w:hAnsiTheme="minorHAnsi" w:cs="ArialNarrow"/>
          <w:b/>
          <w:i/>
          <w:lang w:val="en-US"/>
        </w:rPr>
        <w:t xml:space="preserve">Art. </w:t>
      </w:r>
      <w:proofErr w:type="gramStart"/>
      <w:r w:rsidRPr="00CA6FD2">
        <w:rPr>
          <w:rFonts w:asciiTheme="minorHAnsi" w:eastAsiaTheme="minorHAnsi" w:hAnsiTheme="minorHAnsi" w:cs="ArialNarrow"/>
          <w:b/>
          <w:i/>
          <w:lang w:val="en-US"/>
        </w:rPr>
        <w:t>12 :</w:t>
      </w:r>
      <w:proofErr w:type="gramEnd"/>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jury d’examen, désigné par décision de l’autorité gouvernementale chargé de la formation professionnelle sur proposition du directeur de l’établissement concerné, est composé d’au moins quatre personnes, dont la moitié est constituée de professionnels externes à l’établissement. L’autre moitié est constituée de formateurs. Le représentant de l’autorité gouvernementale chargée de la formation professionnelle, ou la personne désignée par elle à cet effet, siège, en qualité de membre de droit, au jury d’examen.</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président du jury d’examen est choisi parmi les membres professionnels externes à l’établissement et au vu de ses compétences acquises dans le métier visé par la formation.</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13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jury d’examen se réunit sur convocation de son président, au moins 3 fois durant le cursus de formation et chaque fois que nécessaire pour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arrêter le planning de déroulement des examens, le barème de notation et les coefficients attribués à chaque discipline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arrêter le liste définitive des stagiaires concernés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choisir les épreuves d’examen ;</w:t>
      </w:r>
    </w:p>
    <w:p w:rsidR="00CA6FD2" w:rsidRPr="00CA6FD2" w:rsidRDefault="00CA6FD2" w:rsidP="00CA6FD2">
      <w:pPr>
        <w:numPr>
          <w:ilvl w:val="0"/>
          <w:numId w:val="13"/>
        </w:numPr>
        <w:autoSpaceDE w:val="0"/>
        <w:autoSpaceDN w:val="0"/>
        <w:adjustRightInd w:val="0"/>
        <w:spacing w:before="0" w:after="0" w:line="240" w:lineRule="auto"/>
        <w:ind w:left="709" w:hanging="283"/>
        <w:contextualSpacing/>
        <w:jc w:val="both"/>
        <w:rPr>
          <w:rFonts w:asciiTheme="minorHAnsi" w:eastAsiaTheme="minorHAnsi" w:hAnsiTheme="minorHAnsi" w:cs="ArialNarrow"/>
          <w:i/>
        </w:rPr>
      </w:pPr>
      <w:r w:rsidRPr="00CA6FD2">
        <w:rPr>
          <w:rFonts w:asciiTheme="minorHAnsi" w:eastAsiaTheme="minorHAnsi" w:hAnsiTheme="minorHAnsi" w:cs="ArialNarrow"/>
          <w:i/>
        </w:rPr>
        <w:t>Approuver et valiser les notes obtenues par les stagiaires et établir un procès verbal en :</w:t>
      </w:r>
    </w:p>
    <w:p w:rsidR="00CA6FD2" w:rsidRPr="00CA6FD2" w:rsidRDefault="00CA6FD2" w:rsidP="00CA6FD2">
      <w:pPr>
        <w:numPr>
          <w:ilvl w:val="0"/>
          <w:numId w:val="11"/>
        </w:numPr>
        <w:autoSpaceDE w:val="0"/>
        <w:autoSpaceDN w:val="0"/>
        <w:adjustRightInd w:val="0"/>
        <w:spacing w:before="0" w:after="0" w:line="240" w:lineRule="auto"/>
        <w:ind w:left="993"/>
        <w:contextualSpacing/>
        <w:jc w:val="both"/>
        <w:rPr>
          <w:rFonts w:asciiTheme="minorHAnsi" w:eastAsiaTheme="minorHAnsi" w:hAnsiTheme="minorHAnsi" w:cs="ArialNarrow"/>
          <w:i/>
        </w:rPr>
      </w:pPr>
      <w:r w:rsidRPr="00CA6FD2">
        <w:rPr>
          <w:rFonts w:asciiTheme="minorHAnsi" w:eastAsiaTheme="minorHAnsi" w:hAnsiTheme="minorHAnsi" w:cs="ArialNarrow"/>
          <w:i/>
        </w:rPr>
        <w:t>Commentant les résultats obtenus par les stagiaires aux différentes évaluations et le cas échéant, les incidents survenus lors des évaluations ainsi que les décisions prises pour y remédier ;</w:t>
      </w:r>
    </w:p>
    <w:p w:rsidR="00CA6FD2" w:rsidRPr="00CA6FD2" w:rsidRDefault="00CA6FD2" w:rsidP="00CA6FD2">
      <w:pPr>
        <w:numPr>
          <w:ilvl w:val="0"/>
          <w:numId w:val="11"/>
        </w:numPr>
        <w:autoSpaceDE w:val="0"/>
        <w:autoSpaceDN w:val="0"/>
        <w:adjustRightInd w:val="0"/>
        <w:spacing w:before="0" w:after="0" w:line="240" w:lineRule="auto"/>
        <w:ind w:left="993"/>
        <w:contextualSpacing/>
        <w:jc w:val="both"/>
        <w:rPr>
          <w:rFonts w:asciiTheme="minorHAnsi" w:eastAsiaTheme="minorHAnsi" w:hAnsiTheme="minorHAnsi" w:cs="ArialNarrow"/>
          <w:i/>
        </w:rPr>
      </w:pPr>
      <w:r w:rsidRPr="00CA6FD2">
        <w:rPr>
          <w:rFonts w:asciiTheme="minorHAnsi" w:eastAsiaTheme="minorHAnsi" w:hAnsiTheme="minorHAnsi" w:cs="ArialNarrow"/>
          <w:i/>
        </w:rPr>
        <w:t>Motivant l’attribution des notes ;</w:t>
      </w:r>
    </w:p>
    <w:p w:rsidR="00CA6FD2" w:rsidRPr="00CA6FD2" w:rsidRDefault="00CA6FD2" w:rsidP="00CA6FD2">
      <w:pPr>
        <w:numPr>
          <w:ilvl w:val="0"/>
          <w:numId w:val="11"/>
        </w:numPr>
        <w:autoSpaceDE w:val="0"/>
        <w:autoSpaceDN w:val="0"/>
        <w:adjustRightInd w:val="0"/>
        <w:spacing w:before="0" w:after="0" w:line="240" w:lineRule="auto"/>
        <w:ind w:left="993"/>
        <w:contextualSpacing/>
        <w:jc w:val="both"/>
        <w:rPr>
          <w:rFonts w:asciiTheme="minorHAnsi" w:eastAsiaTheme="minorHAnsi" w:hAnsiTheme="minorHAnsi" w:cs="ArialNarrow"/>
          <w:i/>
        </w:rPr>
      </w:pPr>
      <w:r w:rsidRPr="00CA6FD2">
        <w:rPr>
          <w:rFonts w:asciiTheme="minorHAnsi" w:eastAsiaTheme="minorHAnsi" w:hAnsiTheme="minorHAnsi" w:cs="ArialNarrow"/>
          <w:i/>
        </w:rPr>
        <w:t>Classant les stagiaires par ordre de mérite.</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dit procès-verbal, signé par les membres de jury d’examen, est établi en trois exemplaires originaux, dans l’un est adressé sous plis confidentiel, au service extérieur concerné du département de la formation professionnelle.</w:t>
      </w: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p>
    <w:p w:rsidR="00CA6FD2" w:rsidRPr="00CA6FD2" w:rsidRDefault="00CA6FD2" w:rsidP="00CA6FD2">
      <w:pPr>
        <w:autoSpaceDE w:val="0"/>
        <w:autoSpaceDN w:val="0"/>
        <w:adjustRightInd w:val="0"/>
        <w:spacing w:before="0" w:after="0" w:line="240" w:lineRule="auto"/>
        <w:ind w:left="284"/>
        <w:jc w:val="both"/>
        <w:rPr>
          <w:rFonts w:asciiTheme="minorHAnsi" w:eastAsiaTheme="minorHAnsi" w:hAnsiTheme="minorHAnsi" w:cs="ArialNarrow"/>
          <w:b/>
          <w:i/>
        </w:rPr>
      </w:pPr>
      <w:r w:rsidRPr="00CA6FD2">
        <w:rPr>
          <w:rFonts w:asciiTheme="minorHAnsi" w:eastAsiaTheme="minorHAnsi" w:hAnsiTheme="minorHAnsi" w:cs="ArialNarrow"/>
          <w:b/>
          <w:i/>
        </w:rPr>
        <w:t>Art. 14 :</w:t>
      </w:r>
    </w:p>
    <w:p w:rsidR="00CA6FD2" w:rsidRPr="00CA6FD2" w:rsidRDefault="00CA6FD2" w:rsidP="00CA6FD2">
      <w:pPr>
        <w:autoSpaceDE w:val="0"/>
        <w:autoSpaceDN w:val="0"/>
        <w:adjustRightInd w:val="0"/>
        <w:spacing w:before="0" w:after="0" w:line="240" w:lineRule="auto"/>
        <w:ind w:left="426"/>
        <w:jc w:val="both"/>
        <w:rPr>
          <w:rFonts w:asciiTheme="minorHAnsi" w:eastAsiaTheme="minorHAnsi" w:hAnsiTheme="minorHAnsi" w:cs="ArialNarrow"/>
          <w:i/>
        </w:rPr>
      </w:pPr>
      <w:r w:rsidRPr="00CA6FD2">
        <w:rPr>
          <w:rFonts w:asciiTheme="minorHAnsi" w:eastAsiaTheme="minorHAnsi" w:hAnsiTheme="minorHAnsi" w:cs="ArialNarrow"/>
          <w:i/>
        </w:rPr>
        <w:t>Le jury d’examen est tenu de proclamer les résultats obtenus après avoir effectué les vérifications nécessaires, dans un délai ne dépassant pas une semaine, à compter de la date de signature de procès verbal visé à l’article ci-dessus.</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i/>
        </w:rPr>
      </w:pPr>
      <w:r w:rsidRPr="00CA6FD2">
        <w:rPr>
          <w:rFonts w:asciiTheme="minorHAnsi" w:eastAsiaTheme="minorHAnsi" w:hAnsiTheme="minorHAnsi" w:cs="ArialNarrow"/>
          <w:i/>
        </w:rPr>
        <w:t>… »</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pPr>
    </w:p>
    <w:p w:rsidR="00CA6FD2" w:rsidRPr="00CA6FD2" w:rsidRDefault="00CA6FD2" w:rsidP="00CA6FD2">
      <w:pPr>
        <w:spacing w:before="0"/>
        <w:rPr>
          <w:rFonts w:asciiTheme="minorHAnsi" w:eastAsiaTheme="minorHAnsi" w:hAnsiTheme="minorHAnsi" w:cstheme="minorBidi"/>
          <w:b/>
          <w:u w:val="single"/>
        </w:rPr>
      </w:pPr>
      <w:r w:rsidRPr="00CA6FD2">
        <w:rPr>
          <w:rFonts w:asciiTheme="minorHAnsi" w:eastAsiaTheme="minorHAnsi" w:hAnsiTheme="minorHAnsi" w:cs="ArialNarrow"/>
        </w:rPr>
        <w:br w:type="page"/>
      </w:r>
      <w:r w:rsidRPr="00CA6FD2">
        <w:rPr>
          <w:rFonts w:asciiTheme="minorHAnsi" w:eastAsiaTheme="minorHAnsi" w:hAnsiTheme="minorHAnsi" w:cstheme="minorBidi"/>
          <w:b/>
          <w:u w:val="single"/>
        </w:rPr>
        <w:lastRenderedPageBreak/>
        <w:t>PROCEDURE D’ACCREDITATION DES EFPP : REGLEMENT DES EXAMENS</w:t>
      </w: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pP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rPr>
        <w:sectPr w:rsidR="00CA6FD2" w:rsidRPr="00CA6FD2" w:rsidSect="008C3B75">
          <w:headerReference w:type="default" r:id="rId7"/>
          <w:footerReference w:type="even" r:id="rId8"/>
          <w:pgSz w:w="11906" w:h="16838" w:code="9"/>
          <w:pgMar w:top="1418" w:right="1134" w:bottom="1418" w:left="1701" w:header="709" w:footer="516" w:gutter="0"/>
          <w:cols w:space="708"/>
          <w:titlePg/>
          <w:docGrid w:linePitch="360"/>
        </w:sect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lastRenderedPageBreak/>
        <w:t>Pour la mise en place de la procédure d’accréditation des établissements de formation professionnelle privée, le Secrétariat d’Etat Chargé de la Formation Professionnelle a défini un cadre législatif et réglementaire</w:t>
      </w:r>
      <w:r w:rsidRPr="00CA6FD2">
        <w:rPr>
          <w:rFonts w:asciiTheme="minorHAnsi" w:eastAsia="Times New Roman" w:hAnsiTheme="minorHAnsi" w:cs="Times New Roman"/>
          <w:i/>
          <w:vertAlign w:val="superscript"/>
          <w:lang w:eastAsia="fr-FR"/>
        </w:rPr>
        <w:footnoteReference w:id="1"/>
      </w:r>
      <w:r w:rsidRPr="00CA6FD2">
        <w:rPr>
          <w:rFonts w:asciiTheme="minorHAnsi" w:eastAsia="Times New Roman" w:hAnsiTheme="minorHAnsi" w:cs="Times New Roman"/>
          <w:i/>
          <w:lang w:eastAsia="fr-FR"/>
        </w:rPr>
        <w:t xml:space="preserve"> précisant les règles, les conditions et les obligations permettant aux EFPP d’accéder à l’accréditation les autorisant à organiser des examens et leur permettant ensuite de délivrer, à leurs lauréats, des « diplômes/certificats</w:t>
      </w:r>
      <w:r w:rsidRPr="00CA6FD2">
        <w:rPr>
          <w:rFonts w:asciiTheme="minorHAnsi" w:eastAsia="Times New Roman" w:hAnsiTheme="minorHAnsi" w:cs="Times New Roman"/>
          <w:b/>
          <w:bCs/>
          <w:i/>
          <w:vertAlign w:val="superscript"/>
          <w:lang w:eastAsia="fr-FR"/>
        </w:rPr>
        <w:footnoteReference w:id="2"/>
      </w:r>
      <w:r w:rsidRPr="00CA6FD2">
        <w:rPr>
          <w:rFonts w:asciiTheme="minorHAnsi" w:eastAsia="Times New Roman" w:hAnsiTheme="minorHAnsi" w:cs="Times New Roman"/>
          <w:i/>
          <w:lang w:eastAsia="fr-FR"/>
        </w:rPr>
        <w:t> » reconnus par l’Etat.</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Pour ce faire, le dispositif, ci-après, précise les conditions d’organisation des examens et les modalités de délivrance des diplômes visés par le Secrétariat d’Etat chargé de la formation professionnelle. Ce visa constitue la reconnaissance officielle et atteste la valeur nationale du diplôme/certificat obtenu.</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Cependant, le visa des diplômes/certificats exige, de l’ensemble des acteurs de l’établissement accrédité impliqués dans le processus de formation,</w:t>
      </w:r>
      <w:r w:rsidRPr="00CA6FD2">
        <w:rPr>
          <w:rFonts w:asciiTheme="minorHAnsi" w:eastAsia="Times New Roman" w:hAnsiTheme="minorHAnsi" w:cs="Times New Roman"/>
          <w:i/>
          <w:caps/>
          <w:lang w:eastAsia="fr-FR"/>
        </w:rPr>
        <w:t xml:space="preserve"> </w:t>
      </w:r>
      <w:r w:rsidRPr="00CA6FD2">
        <w:rPr>
          <w:rFonts w:asciiTheme="minorHAnsi" w:eastAsia="Times New Roman" w:hAnsiTheme="minorHAnsi" w:cs="Times New Roman"/>
          <w:i/>
          <w:lang w:eastAsia="fr-FR"/>
        </w:rPr>
        <w:t>le respect</w:t>
      </w:r>
      <w:r w:rsidRPr="00CA6FD2">
        <w:rPr>
          <w:rFonts w:asciiTheme="minorHAnsi" w:eastAsia="Times New Roman" w:hAnsiTheme="minorHAnsi" w:cs="Times New Roman"/>
          <w:i/>
          <w:caps/>
          <w:lang w:eastAsia="fr-FR"/>
        </w:rPr>
        <w:t xml:space="preserve"> </w:t>
      </w:r>
      <w:r w:rsidRPr="00CA6FD2">
        <w:rPr>
          <w:rFonts w:asciiTheme="minorHAnsi" w:eastAsia="Times New Roman" w:hAnsiTheme="minorHAnsi" w:cs="Times New Roman"/>
          <w:i/>
          <w:lang w:eastAsia="fr-FR"/>
        </w:rPr>
        <w:t>d’un ensemble de procédures et d’outils concernant la gestion et l’organisation des activités pédagogiques, d’une part, et la formalisation et le pilotage d’un système d’évaluation cohérent avec les textes réglementaires, d’autre part.</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 dernier point constitue la pièce maîtresse du processus de visa des diplômes.</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 xml:space="preserve">En conséquence, le Secrétariat d’Etat chargé de la formation professionnelle effectuera régulièrement des audits, dans les établissements accrédités, afin de s’assurer de la régularité du processus d’accréditation mis </w:t>
      </w:r>
      <w:r w:rsidRPr="00CA6FD2">
        <w:rPr>
          <w:rFonts w:asciiTheme="minorHAnsi" w:eastAsia="Times New Roman" w:hAnsiTheme="minorHAnsi" w:cs="Times New Roman"/>
          <w:i/>
          <w:lang w:eastAsia="fr-FR"/>
        </w:rPr>
        <w:lastRenderedPageBreak/>
        <w:t>en œuvre, notamment la confidentialité des épreuves et la régularité des conditions de déroulement des contrôles et des examens.</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Ainsi, dans l’activité de formation de l’établissement quatre catégories d’acteurs sont identifiées relativement à leur fonction dans le processus pédagogique de réalisation des programmes de formation et de validation des apprentissages :</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La fonction « direction et management » : équipe de direction,</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La fonction « pilotage du système d’évaluation » : le jury d’examens,</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La fonction « formation » : équipes pédagogiques,</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La fonction « apprenant » : les stagiaires.</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Pour chacune de ces catégories d’acteurs, des outils de gestion et de suivi du système d’évaluation ont été conçus afin d’assurer au mieux son rôle.</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Ces outils, qui constituent le système d’évaluation, sont de deux types :</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Des outils de gestion administrative : le dossier d’administration du système d’évaluation à l’intention du jury d’examens, puis le cahier de suivi des activités pédagogiques (le cahier de textes) à l’intention de l’équipe de direction et des formateurs ;</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Des outils de suivi pédagogique : le classeur pédagogique du formateur et le livret individuel de formation du stagiaire.</w:t>
      </w:r>
    </w:p>
    <w:p w:rsidR="00CA6FD2" w:rsidRPr="00CA6FD2" w:rsidRDefault="00CA6FD2" w:rsidP="00CA6FD2">
      <w:pPr>
        <w:spacing w:before="0" w:after="0" w:line="240" w:lineRule="auto"/>
        <w:jc w:val="both"/>
        <w:rPr>
          <w:rFonts w:asciiTheme="minorHAnsi" w:eastAsia="Times New Roman" w:hAnsiTheme="minorHAnsi" w:cs="Times New Roman"/>
          <w:b/>
          <w:bCs/>
          <w:i/>
          <w:lang w:eastAsia="fr-FR"/>
        </w:rPr>
      </w:pPr>
    </w:p>
    <w:p w:rsidR="00CA6FD2" w:rsidRPr="00CA6FD2" w:rsidRDefault="00CA6FD2" w:rsidP="00CA6FD2">
      <w:pPr>
        <w:spacing w:before="0" w:after="0" w:line="240" w:lineRule="auto"/>
        <w:jc w:val="both"/>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Descriptif du système d’évaluation des stagiaires</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 système d’évaluation doit identifier clairement les démarches, les outils et les modalités pour l’évaluation des stagiaires et la validation de leurs acquis en formation.</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Il doit préciser l’organisation et la marche à suivre pour l’ensemble des intervenants dans une filière de formation, afin d’assurer une conformité avec la réglementation en vigueur et de garantir une cohérence pédagogique dans la réalisation des apprentissages visés par le contenu du programme de la filière.</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Enfin, le système d’évaluation doit constituer une base du contrat pédagogique entre l’établissement et le stagiaire. Il doit permettre à ce dernier de se positionner dans un parcours de formation structuré autour d’apprentissages organisés dans des unités de formation, opérationnalisés par des séquences pédagogiques et évalués par des contrôles continus et des examens terminaux.</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Ces contrôles doivent permettre à leur tour au stagiaire de vérifier ses apprentissages et réguler ses efforts, d’une part et de valider et faire reconnaître ses acquis par la réussite des différentes étapes de la formation (passage d’une année à l’autre, obtention du diplôme/certificat).</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b/>
          <w:bCs/>
          <w:i/>
          <w:caps/>
          <w:lang w:eastAsia="fr-FR"/>
        </w:rPr>
      </w:pPr>
      <w:r w:rsidRPr="00CA6FD2">
        <w:rPr>
          <w:rFonts w:asciiTheme="minorHAnsi" w:eastAsia="Times New Roman" w:hAnsiTheme="minorHAnsi" w:cs="Times New Roman"/>
          <w:b/>
          <w:bCs/>
          <w:i/>
          <w:lang w:eastAsia="fr-FR"/>
        </w:rPr>
        <w:t>Le planning prévisionnel du système d’évaluation</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 planning du système d’évaluation constitue le chronogramme d’affectation des activités d’évaluation que l’équipe pédagogique d’une filière de formation compte réaliser tout au long de la durée de la formation. Il s’agit d’une répartition dans le temps de la réalisation des différents contrôles et examens (déclinés ci-dessous), dans chaque unité de formation, en fonction de l’état d’avancement prévisionnel du programme de la filière.</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caps/>
          <w:lang w:eastAsia="fr-FR" w:bidi="ar-MA"/>
        </w:rPr>
      </w:pPr>
      <w:r w:rsidRPr="00CA6FD2">
        <w:rPr>
          <w:rFonts w:asciiTheme="minorHAnsi" w:eastAsia="Times New Roman" w:hAnsiTheme="minorHAnsi" w:cs="Times New Roman"/>
          <w:b/>
          <w:bCs/>
          <w:i/>
          <w:caps/>
          <w:lang w:eastAsia="fr-FR" w:bidi="ar-MA"/>
        </w:rPr>
        <w:t>Le Contrôle continu (CC)</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 contrôle continu constitue l’outil de pilotage pédagogique pour les formateurs. Cette évaluation formative est réalisée au fur et à mesure que le formateur avance dans l’exécution du programme des unités de formation dont il a la charge.</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 xml:space="preserve">L’évaluation formative est orientée vers une aide pédagogique immédiate auprès du stagiaire. Elle a pour but d’informer le formateur et le stagiaire sur le degré de réalisation de chacun des objectifs d’apprentissage visé par le programme de la filière de formation. Ainsi, elle se situe au </w:t>
      </w:r>
      <w:r w:rsidRPr="00CA6FD2">
        <w:rPr>
          <w:rFonts w:asciiTheme="minorHAnsi" w:eastAsia="Times New Roman" w:hAnsiTheme="minorHAnsi" w:cs="Times New Roman"/>
          <w:i/>
          <w:lang w:eastAsia="fr-FR"/>
        </w:rPr>
        <w:lastRenderedPageBreak/>
        <w:t>début, au cours ou à la fin d’une séquence d’apprentissage plus ou moins longue.</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En somme, le contrôle continu vise à décrire la situation présente et permet une action corrective immédiate. Les décisions qui en découlent sont essentiellement d’ordre pédagogique. Elles visent à informer les formateurs et les stagiaires sur les apprentissages qui doivent être validés, permettant le passage aux suivants, ou sur les apprentissages qui doivent être corrigés, améliorés et complétés et sur les moyens à mobiliser pour y parvenir.</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Ainsi, les contrôles continus peuvent être effectués, sur les aspects théoriques et pratiques, au début, au cours ou en fin de chaque séquence pédagogique. La moyenne des notes obtenues aux différents contrôles continus dans une même unité de formation représente 30% de la note finale attribuée à l’unité de formation.</w:t>
      </w:r>
    </w:p>
    <w:p w:rsidR="00CA6FD2" w:rsidRPr="00CA6FD2" w:rsidRDefault="00CA6FD2" w:rsidP="00CA6FD2">
      <w:pPr>
        <w:spacing w:before="0" w:after="0" w:line="240" w:lineRule="auto"/>
        <w:ind w:right="71"/>
        <w:jc w:val="both"/>
        <w:rPr>
          <w:rFonts w:asciiTheme="minorHAnsi" w:eastAsia="Times New Roman" w:hAnsiTheme="minorHAnsi" w:cs="Times New Roman"/>
          <w:b/>
          <w:bCs/>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b/>
          <w:bCs/>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Conception et validation des épreuves des contrôles continus</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Les épreuves des contrôles continus, qu’elles soient d’ordre théorique, technique ou pratique, doivent être conçues de manière à respecter leur fonction pédagogique. Le contenu des épreuves et les conditions de réalisation des contrôles doivent refléter le contexte, les méthodes et les modalités d’atteinte des objectifs d’une séquence pédagogique de l’unité de formation. Ils doivent être réalisés toujours en fonction :</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du calendrier et de l’état d’avancement des programmes (référence à l’emploi du temps de la filière),</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du contenu du programme de formation (référence aux séquences pédagogiques et aux unités de formation).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 xml:space="preserve">Etant donné leur fonction pédagogique, les épreuves des contrôles continus doivent être conçues et élaborées par le formateur chargé de l’unité de formation de référence. Une fois ces épreuves réalisées, elles sont consignées dans le répertoire des épreuves des contrôles dans le classeur du jury d’examens. Elles sont </w:t>
      </w:r>
      <w:r w:rsidRPr="00CA6FD2">
        <w:rPr>
          <w:rFonts w:asciiTheme="minorHAnsi" w:eastAsia="Times New Roman" w:hAnsiTheme="minorHAnsi" w:cs="Times New Roman"/>
          <w:i/>
          <w:lang w:eastAsia="fr-FR"/>
        </w:rPr>
        <w:lastRenderedPageBreak/>
        <w:t xml:space="preserve">soumises au jury d’examens </w:t>
      </w:r>
      <w:r w:rsidRPr="00CA6FD2">
        <w:rPr>
          <w:rFonts w:asciiTheme="minorHAnsi" w:eastAsia="Times New Roman" w:hAnsiTheme="minorHAnsi" w:cs="Times New Roman"/>
          <w:i/>
          <w:iCs/>
          <w:lang w:eastAsia="fr-FR"/>
        </w:rPr>
        <w:t xml:space="preserve">a posteriori </w:t>
      </w:r>
      <w:r w:rsidRPr="00CA6FD2">
        <w:rPr>
          <w:rFonts w:asciiTheme="minorHAnsi" w:eastAsia="Times New Roman" w:hAnsiTheme="minorHAnsi" w:cs="Times New Roman"/>
          <w:i/>
          <w:lang w:eastAsia="fr-FR"/>
        </w:rPr>
        <w:t>(après réalisation du contrôle et correction des résultats) notamment lors de la validation des notes.</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Cependant, afin de permettre au jury d’examens, ou à défaut au président du jury, d’apprécier la cohérence et la pertinence de l’épreuve du contrôle continu avec les objectifs pédagogiques qu’elle est censée vérifier, le formateur doit accompagner l’épreuve d’une fiche technique précisant la démarche, les supports et les critères d’évaluation et de validation des apprentissages en référence aux objectifs de la séquence pédagogique en cours (cf. fiche dans le classeur pédagogique).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lowKashida"/>
        <w:rPr>
          <w:rFonts w:asciiTheme="minorHAnsi" w:eastAsia="Times New Roman" w:hAnsiTheme="minorHAnsi" w:cs="Times New Roman"/>
          <w:b/>
          <w:bCs/>
          <w:i/>
          <w:caps/>
          <w:lang w:eastAsia="fr-FR" w:bidi="ar-MA"/>
        </w:rPr>
      </w:pPr>
      <w:r w:rsidRPr="00CA6FD2">
        <w:rPr>
          <w:rFonts w:asciiTheme="minorHAnsi" w:eastAsia="Times New Roman" w:hAnsiTheme="minorHAnsi" w:cs="Times New Roman"/>
          <w:b/>
          <w:bCs/>
          <w:i/>
          <w:caps/>
          <w:lang w:eastAsia="fr-FR" w:bidi="ar-MA"/>
        </w:rPr>
        <w:t>Examens de fin de cursus de formation (EFCF)</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r w:rsidRPr="00CA6FD2">
        <w:rPr>
          <w:rFonts w:asciiTheme="minorHAnsi" w:eastAsia="Times New Roman" w:hAnsiTheme="minorHAnsi" w:cs="Times New Roman"/>
          <w:i/>
          <w:lang w:eastAsia="fr-FR" w:bidi="ar-MA"/>
        </w:rPr>
        <w:t>Qu’il soit théorique ou pratique, l’examen de fin de cursus de formation, constitue un contrôle terminal qui vise à faire le bilan des apprentissages réalisés à la fin d’un parcours de formation. C’est de l’évaluation sommative.</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r w:rsidRPr="00CA6FD2">
        <w:rPr>
          <w:rFonts w:asciiTheme="minorHAnsi" w:eastAsia="Times New Roman" w:hAnsiTheme="minorHAnsi" w:cs="Times New Roman"/>
          <w:i/>
          <w:lang w:eastAsia="fr-FR" w:bidi="ar-MA"/>
        </w:rPr>
        <w:t>L’évaluation sommative est la fonction d’évaluation employée à la fin d’un parcours, d’un cycle, d’une partie ou de la totalité d’un programme d’études dans un but de classification ou de certification.</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r w:rsidRPr="00CA6FD2">
        <w:rPr>
          <w:rFonts w:asciiTheme="minorHAnsi" w:eastAsia="Times New Roman" w:hAnsiTheme="minorHAnsi" w:cs="Times New Roman"/>
          <w:i/>
          <w:lang w:eastAsia="fr-FR" w:bidi="ar-MA"/>
        </w:rPr>
        <w:t>La caractéristique essentielle de l’évaluation sommative, c’est qu’un jugement est porté sur ce qui est maîtrisé par les stagiaires. Il s’agit d’une démarche dont les données obtenues, à la fin d’un programme d’études ou d’une partie terminale du programme, servent à exprimer le degré de maîtrise par le stagiaire des objectifs visés et à prendre les décisions relatives à la sanction des acquis, à la reconnaissance des acquis expérientiels (stages en entreprises par exemple)… et au passage dans la classe supérieure.</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r w:rsidRPr="00CA6FD2">
        <w:rPr>
          <w:rFonts w:asciiTheme="minorHAnsi" w:eastAsia="Times New Roman" w:hAnsiTheme="minorHAnsi" w:cs="Times New Roman"/>
          <w:i/>
          <w:lang w:eastAsia="fr-FR" w:bidi="ar-MA"/>
        </w:rPr>
        <w:t xml:space="preserve">L’évaluation sommative se veut globalisante, elle doit refléter la synthèse des apprentissages et fournir un portrait d’ensemble des apprentissages pour chacun </w:t>
      </w:r>
      <w:r w:rsidRPr="00CA6FD2">
        <w:rPr>
          <w:rFonts w:asciiTheme="minorHAnsi" w:eastAsia="Times New Roman" w:hAnsiTheme="minorHAnsi" w:cs="Times New Roman"/>
          <w:i/>
          <w:lang w:eastAsia="fr-FR" w:bidi="ar-MA"/>
        </w:rPr>
        <w:lastRenderedPageBreak/>
        <w:t>des stagiaires d’un même groupe ou d’un même niveau.</w:t>
      </w:r>
    </w:p>
    <w:p w:rsidR="00CA6FD2" w:rsidRPr="00CA6FD2" w:rsidRDefault="00CA6FD2" w:rsidP="00CA6FD2">
      <w:pPr>
        <w:spacing w:before="0" w:after="0" w:line="240" w:lineRule="auto"/>
        <w:ind w:right="71"/>
        <w:jc w:val="both"/>
        <w:rPr>
          <w:rFonts w:asciiTheme="minorHAnsi" w:eastAsia="Times New Roman" w:hAnsiTheme="minorHAnsi" w:cs="Times New Roman"/>
          <w:b/>
          <w:bCs/>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b/>
          <w:bCs/>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b/>
          <w:bCs/>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 xml:space="preserve">Conception et validation des épreuves des </w:t>
      </w:r>
      <w:r w:rsidRPr="00CA6FD2">
        <w:rPr>
          <w:rFonts w:asciiTheme="minorHAnsi" w:eastAsia="Times New Roman" w:hAnsiTheme="minorHAnsi" w:cs="Times New Roman"/>
          <w:b/>
          <w:bCs/>
          <w:i/>
          <w:lang w:eastAsia="fr-FR" w:bidi="ar-MA"/>
        </w:rPr>
        <w:t>examens de fin de cursus de formation</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Les épreuves des examens de fin de cursus de formation, qu’elles soient d’ordre théorique ou pratique, doivent être conçues de manière à respecter leur fonction globalisante et synthétique des apprentissages. Les examens doivent être effectués toujours après avoir réalisé l’ensemble des séquences pédagogiques d’une même unité de formation.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 contenu des épreuves et les conditions de réalisation des examens doivent refléter les acquis visés par les objectifs de l’unité de formation et les résultats attendus du stagiaire en fin de cursus de formation.</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Etant donné leur caractère sommatif des apprentissages, les épreuves des examens de fin de cursus de formation doivent être conçues et élaborées de manière à sanctionner et reconnaître l’ensemble des apprentissages du stagiaire dans une unité de formation. Il est recherché par cet examen d’apprécier et de mesurer la capacité du stagiaire à combiner un ensemble de savoirs théoriques, techniques et pratiques pour résoudre la problématique posée par l’épreuve.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 xml:space="preserve">A la différence du contrôle continu, l’épreuve de l’examen est validée par le jury d’examens </w:t>
      </w:r>
      <w:r w:rsidRPr="00CA6FD2">
        <w:rPr>
          <w:rFonts w:asciiTheme="minorHAnsi" w:eastAsia="Times New Roman" w:hAnsiTheme="minorHAnsi" w:cs="Times New Roman"/>
          <w:i/>
          <w:iCs/>
          <w:lang w:eastAsia="fr-FR"/>
        </w:rPr>
        <w:t>a priori</w:t>
      </w:r>
      <w:r w:rsidRPr="00CA6FD2">
        <w:rPr>
          <w:rFonts w:asciiTheme="minorHAnsi" w:eastAsia="Times New Roman" w:hAnsiTheme="minorHAnsi" w:cs="Times New Roman"/>
          <w:i/>
          <w:lang w:eastAsia="fr-FR"/>
        </w:rPr>
        <w:t xml:space="preserve"> (avant l’organisation de l’examen). En effet, l’aspect programmatique des unités de formation permet à tout formateur d’identifier, en fonction des objectifs poursuivis par chaque unité de formation, plusieurs scénarii proposant des situations différentes visant à évaluer la performance du stagiaire et sa capacité à réutiliser ses apprentissages de manière combinée et adéquate.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lastRenderedPageBreak/>
        <w:t>Ces scénarii constituent les propositions que chaque formateur doit soumettre au jury d’examens pour étude, sélection et validation.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Cependant, afin de permettre au jury d’examens, d’apprécier la cohérence et la pertinence des épreuves d’examen de fin de cursus de formation, le formateur doit fournir pour chaque proposition d’épreuve le corrigé de l’épreuve accompagné d’une fiche technique précisant les conditions et les critères de validation des apprentissages en référence aux objectifs de l’unité de formation (barèmes de notation et critères de correction des copies des stagiaires) d’une part, et les résultats escomptés et les performances qu’elles sont supposées vérifier chez les stagiaires d’autre part (cf. fiche dans le classeur pédagogique).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Il revient en définitive au jury d’examens de choisir les épreuves qui lui paraissent correspondre au mieux à la validation des acquis des stagiaires dans chaque unité de formation selon deux possibilités :</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Une épreuve parmi les propositions des formateurs,</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Une épreuve résultant de la combinaison des différentes propositions des formateurs,</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Dans le cas ou le jury d’examens rejette les propositions des formateurs, il propose les épreuves d’examens les plus appropriées.</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r w:rsidRPr="00CA6FD2">
        <w:rPr>
          <w:rFonts w:asciiTheme="minorHAnsi" w:eastAsia="Times New Roman" w:hAnsiTheme="minorHAnsi" w:cs="Times New Roman"/>
          <w:i/>
          <w:lang w:eastAsia="fr-FR" w:bidi="ar-MA"/>
        </w:rPr>
        <w:t xml:space="preserve">Ces propositions doivent comporter, </w:t>
      </w:r>
      <w:r w:rsidRPr="00CA6FD2">
        <w:rPr>
          <w:rFonts w:asciiTheme="minorHAnsi" w:eastAsia="Times New Roman" w:hAnsiTheme="minorHAnsi" w:cs="Times New Roman"/>
          <w:i/>
          <w:lang w:eastAsia="fr-FR"/>
        </w:rPr>
        <w:t xml:space="preserve">pour chaque examen de fin de cursus de formation, </w:t>
      </w:r>
      <w:r w:rsidRPr="00CA6FD2">
        <w:rPr>
          <w:rFonts w:asciiTheme="minorHAnsi" w:eastAsia="Times New Roman" w:hAnsiTheme="minorHAnsi" w:cs="Times New Roman"/>
          <w:i/>
          <w:lang w:eastAsia="fr-FR" w:bidi="ar-MA"/>
        </w:rPr>
        <w:t>trois épreuves théoriques et trois épreuves pratiques.</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r w:rsidRPr="00CA6FD2">
        <w:rPr>
          <w:rFonts w:asciiTheme="minorHAnsi" w:eastAsia="Times New Roman" w:hAnsiTheme="minorHAnsi" w:cs="Times New Roman"/>
          <w:i/>
          <w:lang w:eastAsia="fr-FR" w:bidi="ar-MA"/>
        </w:rPr>
        <w:t>Les épreuves théoriques sont destinées à évaluer les apprentissages réalisés par le stagiaire, relatifs à la partie théorique du contenu de l’unité de formation tel qu’identifié dans le programme de la filière.</w:t>
      </w:r>
    </w:p>
    <w:p w:rsidR="00CA6FD2" w:rsidRPr="00CA6FD2" w:rsidRDefault="00CA6FD2" w:rsidP="00CA6FD2">
      <w:pPr>
        <w:spacing w:before="0" w:after="0" w:line="240" w:lineRule="auto"/>
        <w:ind w:right="-1"/>
        <w:jc w:val="both"/>
        <w:rPr>
          <w:rFonts w:asciiTheme="minorHAnsi" w:eastAsia="Times New Roman" w:hAnsiTheme="minorHAnsi" w:cs="Times New Roman"/>
          <w:i/>
          <w:lang w:eastAsia="fr-FR" w:bidi="ar-MA"/>
        </w:rPr>
      </w:pPr>
      <w:r w:rsidRPr="00CA6FD2">
        <w:rPr>
          <w:rFonts w:asciiTheme="minorHAnsi" w:eastAsia="Times New Roman" w:hAnsiTheme="minorHAnsi" w:cs="Times New Roman"/>
          <w:i/>
          <w:lang w:eastAsia="fr-FR" w:bidi="ar-MA"/>
        </w:rPr>
        <w:t>Les épreuves pratiques, à leur tour, visent à évaluer  les apprentissages, réalisés par le stagiaire, relatifs à la partie pratique du contenu de l’unité de formation tel qu’identifié dans le programme de la filière.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lastRenderedPageBreak/>
        <w:t>Pour chaque examen de fin de cursus de formation, le jury choisi deux épreuves, une épreuve principale et une épreuve secondaire (le jury d’examens au moment de la duplication peut donner, s’il le juge nécessaire, la priorité à l’épreuve secondaire).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Une fois les épreuves choisies, il est de la responsabilité des membres du jury d’examens de garder la confidentialité des épreuves ; ces épreuves sont signées par les membres du jury puis mises chacune dans une enveloppe portant le cachet de l’établissement, l’intitulé de l’unité de formation, la dénomination de la filière de formation, l’année de formation et la mention « épreuve principale », « épreuve secondaire », puis mise sous scellée en séance plénière (aucune copie de l’épreuve n’est autorisée).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Cette enveloppe est confiée au directeur pédagogique de l’établissement.</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La semaine qui précède l’examen, l’enveloppe est ouverte par le président du jury d’examens ou, à défaut, par un membre du jury mandaté à cet effet, en présence du directeur pédagogique. Ce dernier procède à la duplication de l’épreuve en autant d’exemplaires que de stagiaires inscrits dans la filière, puis l’ensemble est remis sous enveloppes scellées, portant les mêmes inscriptions que l’enveloppe qui contenait l’épreuve avec en plus la précision du nombre d’exemplaires.</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Il revient au jury d’examens de superviser l’ouverture de ces enveloppes au début de chaque examen.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jc w:val="both"/>
        <w:rPr>
          <w:rFonts w:asciiTheme="minorHAnsi" w:eastAsia="Times New Roman" w:hAnsiTheme="minorHAnsi" w:cs="Times New Roman"/>
          <w:b/>
          <w:bCs/>
          <w:i/>
          <w:u w:val="single"/>
          <w:lang w:eastAsia="fr-FR"/>
        </w:rPr>
      </w:pPr>
    </w:p>
    <w:p w:rsidR="00CA6FD2" w:rsidRPr="00CA6FD2" w:rsidRDefault="00CA6FD2" w:rsidP="00CA6FD2">
      <w:pPr>
        <w:spacing w:before="0" w:after="0" w:line="240" w:lineRule="auto"/>
        <w:jc w:val="both"/>
        <w:rPr>
          <w:rFonts w:asciiTheme="minorHAnsi" w:eastAsia="Times New Roman" w:hAnsiTheme="minorHAnsi" w:cs="Times New Roman"/>
          <w:b/>
          <w:bCs/>
          <w:i/>
          <w:u w:val="single"/>
          <w:lang w:eastAsia="fr-FR"/>
        </w:rPr>
      </w:pPr>
    </w:p>
    <w:p w:rsidR="00CA6FD2" w:rsidRPr="00CA6FD2" w:rsidRDefault="00CA6FD2" w:rsidP="00CA6FD2">
      <w:pPr>
        <w:spacing w:before="0" w:after="0" w:line="240" w:lineRule="auto"/>
        <w:jc w:val="both"/>
        <w:rPr>
          <w:rFonts w:asciiTheme="minorHAnsi" w:eastAsia="Times New Roman" w:hAnsiTheme="minorHAnsi" w:cs="Times New Roman"/>
          <w:b/>
          <w:bCs/>
          <w:i/>
          <w:u w:val="single"/>
          <w:lang w:eastAsia="fr-FR"/>
        </w:rPr>
      </w:pPr>
      <w:r w:rsidRPr="00CA6FD2">
        <w:rPr>
          <w:rFonts w:asciiTheme="minorHAnsi" w:eastAsia="Times New Roman" w:hAnsiTheme="minorHAnsi" w:cs="Times New Roman"/>
          <w:b/>
          <w:bCs/>
          <w:i/>
          <w:u w:val="single"/>
          <w:lang w:eastAsia="fr-FR"/>
        </w:rPr>
        <w:t>C’est la responsabilité du directeur pédagogique qui est engagée dans la confidentialité des épreuves.</w:t>
      </w:r>
    </w:p>
    <w:p w:rsidR="00CA6FD2" w:rsidRPr="00CA6FD2" w:rsidRDefault="00CA6FD2" w:rsidP="00CA6FD2">
      <w:pPr>
        <w:spacing w:before="0" w:after="0" w:line="240" w:lineRule="auto"/>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L’établissement doit prévoir, pour les examens de fin de cursus de formation, des imprimés de copie d’examens garantissant l’anonymat et le codage des copies remises par les stagiaires en fin de l’épreuve.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lastRenderedPageBreak/>
        <w:t>Une fois l’examen passé, le secrétariat du jury consigne la copie originale de l’épreuve dans le répertoire des épreuves des EFCF dans le classeur du jury d’examens.</w:t>
      </w:r>
    </w:p>
    <w:p w:rsidR="00CA6FD2" w:rsidRPr="00CA6FD2" w:rsidRDefault="00CA6FD2" w:rsidP="00CA6FD2">
      <w:pPr>
        <w:spacing w:before="0" w:after="0" w:line="240" w:lineRule="auto"/>
        <w:ind w:right="-1"/>
        <w:jc w:val="both"/>
        <w:rPr>
          <w:rFonts w:asciiTheme="minorHAnsi" w:eastAsia="Times New Roman" w:hAnsiTheme="minorHAnsi" w:cs="Times New Roman"/>
          <w:b/>
          <w:bCs/>
          <w:i/>
          <w:caps/>
          <w:lang w:eastAsia="fr-FR" w:bidi="ar-MA"/>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La note obtenue à l’examen de fin de cursus de formation d’une unité de formation représente 20% de la note finale attribuée à l’unité de formation, lorsqu’il s’agit de l’examen théorique et 30% lorsqu’il s’agit de l’examen pratique.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Une seule session est prévue pour chaque examen de fin de cursus de formation.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1"/>
        <w:jc w:val="both"/>
        <w:rPr>
          <w:rFonts w:asciiTheme="minorHAnsi" w:eastAsia="Times New Roman" w:hAnsiTheme="minorHAnsi" w:cs="Times New Roman"/>
          <w:b/>
          <w:bCs/>
          <w:i/>
          <w:caps/>
          <w:lang w:eastAsia="fr-FR" w:bidi="ar-MA"/>
        </w:rPr>
      </w:pPr>
      <w:r w:rsidRPr="00CA6FD2">
        <w:rPr>
          <w:rFonts w:asciiTheme="minorHAnsi" w:eastAsia="Times New Roman" w:hAnsiTheme="minorHAnsi" w:cs="Times New Roman"/>
          <w:b/>
          <w:bCs/>
          <w:i/>
          <w:caps/>
          <w:lang w:eastAsia="fr-FR" w:bidi="ar-MA"/>
        </w:rPr>
        <w:br w:type="page"/>
      </w:r>
      <w:r w:rsidRPr="00CA6FD2">
        <w:rPr>
          <w:rFonts w:asciiTheme="minorHAnsi" w:eastAsia="Times New Roman" w:hAnsiTheme="minorHAnsi" w:cs="Times New Roman"/>
          <w:b/>
          <w:bCs/>
          <w:i/>
          <w:caps/>
          <w:lang w:eastAsia="fr-FR" w:bidi="ar-MA"/>
        </w:rPr>
        <w:lastRenderedPageBreak/>
        <w:t>Soutenance des RESULTATS DES travaux individuels</w:t>
      </w:r>
    </w:p>
    <w:p w:rsidR="00CA6FD2" w:rsidRPr="00CA6FD2" w:rsidRDefault="00CA6FD2" w:rsidP="00CA6FD2">
      <w:pPr>
        <w:spacing w:before="0" w:after="0" w:line="240" w:lineRule="auto"/>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Les travaux individuels de fin de formation représentent la production individuelle du stagiaire, en fin de formation, dans le cadre d’un projet ayant un lien direct avec l’un des aspects professionnels de la filière de formation. Il vise à mettre le stagiaire dans une dynamique d’analyse de situation et de développement de solutions inscrites dans une démarche de réinvestissement et d’exploitation des apprentissages opérés tout au long de la formation.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En aucun cas, ces travaux ne peuvent être confondus avec le stage en entreprise qui est assimilé à une unité de formation (240 heures) selon les normes de qualification des filières.</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 rapport de stage (cf. livret du stage en entreprise) n’est pas soutenu devant un jury, il est simplement noté</w:t>
      </w:r>
      <w:r w:rsidRPr="00CA6FD2">
        <w:rPr>
          <w:rFonts w:asciiTheme="minorHAnsi" w:eastAsia="Times New Roman" w:hAnsiTheme="minorHAnsi" w:cs="Times New Roman"/>
          <w:i/>
          <w:vertAlign w:val="superscript"/>
          <w:lang w:eastAsia="fr-FR"/>
        </w:rPr>
        <w:footnoteReference w:id="3"/>
      </w:r>
      <w:r w:rsidRPr="00CA6FD2">
        <w:rPr>
          <w:rFonts w:asciiTheme="minorHAnsi" w:eastAsia="Times New Roman" w:hAnsiTheme="minorHAnsi" w:cs="Times New Roman"/>
          <w:i/>
          <w:lang w:eastAsia="fr-FR"/>
        </w:rPr>
        <w:t xml:space="preserve"> par le(s) formateur(s) responsable(s) du suivi du stage et le tuteur en entreprise. </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Quant aux travaux individuels de fin de formation, deux cas de figure peuvent se présenter :</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 stagiaire peut dégager une problématique de ses travaux individuels lors de l’un de ses stages en entreprises, il sera amené, dans ce cas, à différencier dans deux productions séparées ; le rapport de stage d’une part et les résultats des travaux individuels à soutenir devant le jury de soutenance, d’autre part.</w:t>
      </w:r>
    </w:p>
    <w:p w:rsidR="00CA6FD2" w:rsidRPr="00CA6FD2" w:rsidRDefault="00CA6FD2" w:rsidP="00CA6FD2">
      <w:pPr>
        <w:numPr>
          <w:ilvl w:val="0"/>
          <w:numId w:val="16"/>
        </w:numPr>
        <w:spacing w:before="0" w:after="0" w:line="240" w:lineRule="auto"/>
        <w:ind w:left="360"/>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le stagiaire peut choisir une problématique pour ses travaux individuels complètement indépendante des stages en entreprises.</w:t>
      </w:r>
    </w:p>
    <w:p w:rsidR="00CA6FD2" w:rsidRPr="00CA6FD2" w:rsidRDefault="00CA6FD2" w:rsidP="00CA6FD2">
      <w:pPr>
        <w:spacing w:before="0" w:after="0" w:line="240" w:lineRule="auto"/>
        <w:ind w:right="7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Il est souhaitable que les travaux individuels de fin de formation, soient préparés et réalisés au fur et à mesure de la réalisation de la formation.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 xml:space="preserve">Dans l’évaluation de la production du stagiaire, il ne s’agit pas de vérifier ses acquis selon tel ou tel objectif pédagogique, mais de </w:t>
      </w:r>
      <w:r w:rsidRPr="00CA6FD2">
        <w:rPr>
          <w:rFonts w:asciiTheme="minorHAnsi" w:eastAsia="Times New Roman" w:hAnsiTheme="minorHAnsi" w:cs="Times New Roman"/>
          <w:i/>
          <w:lang w:eastAsia="fr-FR"/>
        </w:rPr>
        <w:lastRenderedPageBreak/>
        <w:t>projeter le stagiaire dans une perspective de production de savoir sur son action ; le stagiaire doit démontrer sa capacité à produire de manière construite et réfléchie en fonction d’une situation problématisée s’inscrivant dans l’environnement professionnel du métier qu’il se prépare à exercer (analyse d’une expérience en entreprise, conception d’un prototype, proposition d’une solution pour une situation problématique, analyse des résultats ou des modalités d’application d’une technique, théorie…).</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Cette production attendue du stagiaire devrait être  accompagnée par une stratégie pédagogique de préparation et d’orientation des stagiaires dans le choix du sujet des travaux individuels de fin de formation. Cette démarche d’accompagnement et de suivi des stagiaires dans le processus de production des travaux individuels, doit être explicitée par le formateur dans une fiche technique pour chaque stagiaire dont il assure le tutorat, précisant les critères d’appréciation des productions des stagiaires et d’attribution de la note correspondante, afin de permettre au jury d’examens d’adapter les modalités de validation de soutenance des travaux individuels.</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La note attribuée par le jury de soutenance</w:t>
      </w:r>
      <w:r w:rsidRPr="00CA6FD2">
        <w:rPr>
          <w:rFonts w:asciiTheme="minorHAnsi" w:eastAsia="Times New Roman" w:hAnsiTheme="minorHAnsi" w:cs="Times New Roman"/>
          <w:i/>
          <w:vertAlign w:val="superscript"/>
          <w:lang w:eastAsia="fr-FR"/>
        </w:rPr>
        <w:footnoteReference w:id="4"/>
      </w:r>
      <w:r w:rsidRPr="00CA6FD2">
        <w:rPr>
          <w:rFonts w:asciiTheme="minorHAnsi" w:eastAsia="Times New Roman" w:hAnsiTheme="minorHAnsi" w:cs="Times New Roman"/>
          <w:i/>
          <w:lang w:eastAsia="fr-FR"/>
        </w:rPr>
        <w:t xml:space="preserve"> aux travaux individuels de fin de formation représente 20% de la note finale de la formation.</w:t>
      </w:r>
    </w:p>
    <w:p w:rsidR="00CA6FD2" w:rsidRPr="00CA6FD2" w:rsidRDefault="00CA6FD2" w:rsidP="00CA6FD2">
      <w:pPr>
        <w:spacing w:before="0" w:after="0" w:line="240" w:lineRule="auto"/>
        <w:ind w:right="71"/>
        <w:jc w:val="both"/>
        <w:rPr>
          <w:rFonts w:asciiTheme="minorHAnsi" w:eastAsia="Times New Roman" w:hAnsiTheme="minorHAnsi" w:cs="Times New Roman"/>
          <w:i/>
          <w:lang w:eastAsia="fr-FR"/>
        </w:rPr>
      </w:pPr>
    </w:p>
    <w:p w:rsidR="00CA6FD2" w:rsidRPr="00CA6FD2" w:rsidRDefault="00CA6FD2" w:rsidP="00CA6FD2">
      <w:pPr>
        <w:autoSpaceDE w:val="0"/>
        <w:autoSpaceDN w:val="0"/>
        <w:adjustRightInd w:val="0"/>
        <w:spacing w:before="0" w:after="0" w:line="240" w:lineRule="auto"/>
        <w:jc w:val="both"/>
        <w:rPr>
          <w:rFonts w:asciiTheme="minorHAnsi" w:eastAsiaTheme="minorHAnsi" w:hAnsiTheme="minorHAnsi" w:cs="ArialNarrow"/>
          <w:i/>
        </w:rPr>
      </w:pPr>
      <w:r w:rsidRPr="00CA6FD2">
        <w:rPr>
          <w:rFonts w:asciiTheme="minorHAnsi" w:eastAsia="Times New Roman" w:hAnsiTheme="minorHAnsi" w:cs="Times New Roman"/>
          <w:i/>
          <w:lang w:eastAsia="fr-FR"/>
        </w:rPr>
        <w:t>Une seule session est prévue pour la soutenance des résultats des travaux individuels de fin de formation.</w:t>
      </w:r>
    </w:p>
    <w:p w:rsidR="00CA6FD2" w:rsidRPr="00CA6FD2" w:rsidRDefault="00CA6FD2" w:rsidP="00CA6FD2">
      <w:pPr>
        <w:spacing w:before="0" w:after="0" w:line="240" w:lineRule="auto"/>
        <w:jc w:val="both"/>
        <w:rPr>
          <w:rFonts w:asciiTheme="minorHAnsi" w:eastAsia="Times New Roman" w:hAnsiTheme="minorHAnsi" w:cs="Times New Roman"/>
          <w:i/>
          <w:lang w:eastAsia="fr-FR"/>
        </w:rPr>
        <w:sectPr w:rsidR="00CA6FD2" w:rsidRPr="00CA6FD2" w:rsidSect="00F73DA2">
          <w:type w:val="continuous"/>
          <w:pgSz w:w="11906" w:h="16838" w:code="9"/>
          <w:pgMar w:top="1418" w:right="1134" w:bottom="1418" w:left="1701" w:header="709" w:footer="516" w:gutter="0"/>
          <w:cols w:num="2" w:space="708"/>
          <w:titlePg/>
          <w:docGrid w:linePitch="360"/>
        </w:sectPr>
      </w:pPr>
    </w:p>
    <w:p w:rsidR="00CA6FD2" w:rsidRPr="00CA6FD2" w:rsidRDefault="00CA6FD2" w:rsidP="00CA6FD2">
      <w:pPr>
        <w:spacing w:before="0" w:after="0" w:line="240" w:lineRule="auto"/>
        <w:jc w:val="center"/>
        <w:rPr>
          <w:rFonts w:asciiTheme="minorHAnsi" w:eastAsia="Times New Roman" w:hAnsiTheme="minorHAnsi" w:cs="Times New Roman"/>
          <w:b/>
          <w:bCs/>
          <w:i/>
          <w:smallCaps/>
          <w:lang w:eastAsia="fr-FR"/>
        </w:rPr>
      </w:pPr>
      <w:r w:rsidRPr="00CA6FD2">
        <w:rPr>
          <w:rFonts w:asciiTheme="minorHAnsi" w:eastAsia="Times New Roman" w:hAnsiTheme="minorHAnsi" w:cs="Times New Roman"/>
          <w:b/>
          <w:bCs/>
          <w:i/>
          <w:smallCaps/>
          <w:lang w:eastAsia="fr-FR"/>
        </w:rPr>
        <w:lastRenderedPageBreak/>
        <w:t>Système d’évaluation en 1</w:t>
      </w:r>
      <w:r w:rsidRPr="00CA6FD2">
        <w:rPr>
          <w:rFonts w:asciiTheme="minorHAnsi" w:eastAsia="Times New Roman" w:hAnsiTheme="minorHAnsi" w:cs="Times New Roman"/>
          <w:b/>
          <w:bCs/>
          <w:i/>
          <w:smallCaps/>
          <w:vertAlign w:val="superscript"/>
          <w:lang w:eastAsia="fr-FR"/>
        </w:rPr>
        <w:t>ère</w:t>
      </w:r>
      <w:r w:rsidRPr="00CA6FD2">
        <w:rPr>
          <w:rFonts w:asciiTheme="minorHAnsi" w:eastAsia="Times New Roman" w:hAnsiTheme="minorHAnsi" w:cs="Times New Roman"/>
          <w:b/>
          <w:bCs/>
          <w:i/>
          <w:smallCaps/>
          <w:lang w:eastAsia="fr-FR"/>
        </w:rPr>
        <w:t xml:space="preserve"> année de formation</w:t>
      </w:r>
    </w:p>
    <w:p w:rsidR="00CA6FD2" w:rsidRPr="00CA6FD2" w:rsidRDefault="00CA6FD2" w:rsidP="00CA6FD2">
      <w:pPr>
        <w:spacing w:before="0" w:after="0" w:line="240" w:lineRule="auto"/>
        <w:jc w:val="center"/>
        <w:rPr>
          <w:rFonts w:asciiTheme="minorHAnsi" w:eastAsia="Times New Roman" w:hAnsiTheme="minorHAnsi" w:cs="Times New Roman"/>
          <w:b/>
          <w:bCs/>
          <w:i/>
          <w:smallCaps/>
          <w:lang w:eastAsia="fr-FR"/>
        </w:rPr>
      </w:pPr>
      <w:r w:rsidRPr="00CA6FD2">
        <w:rPr>
          <w:rFonts w:asciiTheme="minorHAnsi" w:eastAsia="Times New Roman" w:hAnsiTheme="minorHAnsi" w:cs="Times New Roman"/>
          <w:b/>
          <w:bCs/>
          <w:i/>
          <w:smallCaps/>
          <w:lang w:eastAsia="fr-FR"/>
        </w:rPr>
        <w:t>Et modalités de passage en 2</w:t>
      </w:r>
      <w:r w:rsidRPr="00CA6FD2">
        <w:rPr>
          <w:rFonts w:asciiTheme="minorHAnsi" w:eastAsia="Times New Roman" w:hAnsiTheme="minorHAnsi" w:cs="Times New Roman"/>
          <w:b/>
          <w:bCs/>
          <w:i/>
          <w:smallCaps/>
          <w:vertAlign w:val="superscript"/>
          <w:lang w:eastAsia="fr-FR"/>
        </w:rPr>
        <w:t>ème</w:t>
      </w:r>
      <w:r w:rsidRPr="00CA6FD2">
        <w:rPr>
          <w:rFonts w:asciiTheme="minorHAnsi" w:eastAsia="Times New Roman" w:hAnsiTheme="minorHAnsi" w:cs="Times New Roman"/>
          <w:b/>
          <w:bCs/>
          <w:i/>
          <w:smallCaps/>
          <w:lang w:eastAsia="fr-FR"/>
        </w:rPr>
        <w:t xml:space="preserve"> année de la filière de formation</w:t>
      </w:r>
    </w:p>
    <w:p w:rsidR="00CA6FD2" w:rsidRPr="00CA6FD2" w:rsidRDefault="00CA6FD2" w:rsidP="00CA6FD2">
      <w:pPr>
        <w:spacing w:before="0" w:after="0" w:line="240" w:lineRule="auto"/>
        <w:rPr>
          <w:rFonts w:asciiTheme="minorHAnsi" w:eastAsia="Times New Roman" w:hAnsiTheme="minorHAnsi" w:cs="Times New Roman"/>
          <w:bCs/>
          <w:i/>
          <w:lang w:eastAsia="fr-FR"/>
        </w:rPr>
      </w:pPr>
    </w:p>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30"/>
        <w:gridCol w:w="567"/>
        <w:gridCol w:w="1113"/>
        <w:gridCol w:w="1080"/>
        <w:gridCol w:w="1080"/>
        <w:gridCol w:w="1080"/>
        <w:gridCol w:w="360"/>
        <w:gridCol w:w="2340"/>
        <w:gridCol w:w="459"/>
      </w:tblGrid>
      <w:tr w:rsidR="00CA6FD2" w:rsidRPr="00CA6FD2" w:rsidTr="0052675C">
        <w:trPr>
          <w:cantSplit/>
        </w:trPr>
        <w:tc>
          <w:tcPr>
            <w:tcW w:w="2197" w:type="dxa"/>
            <w:gridSpan w:val="2"/>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 xml:space="preserve">Unités de </w:t>
            </w:r>
            <w:r w:rsidRPr="00CA6FD2">
              <w:rPr>
                <w:rFonts w:asciiTheme="minorHAnsi" w:eastAsia="Times New Roman" w:hAnsiTheme="minorHAnsi" w:cs="Times New Roman"/>
                <w:i/>
                <w:caps/>
                <w:lang w:eastAsia="fr-FR"/>
              </w:rPr>
              <w:t>f</w:t>
            </w:r>
            <w:r w:rsidRPr="00CA6FD2">
              <w:rPr>
                <w:rFonts w:asciiTheme="minorHAnsi" w:eastAsia="Times New Roman" w:hAnsiTheme="minorHAnsi" w:cs="Times New Roman"/>
                <w:i/>
                <w:lang w:eastAsia="fr-FR"/>
              </w:rPr>
              <w:t>ormation</w:t>
            </w:r>
          </w:p>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Et Coefficient</w:t>
            </w:r>
            <w:r w:rsidRPr="00CA6FD2">
              <w:rPr>
                <w:rFonts w:asciiTheme="minorHAnsi" w:eastAsia="Times New Roman" w:hAnsiTheme="minorHAnsi" w:cs="Times New Roman"/>
                <w:i/>
                <w:vertAlign w:val="superscript"/>
                <w:lang w:eastAsia="fr-FR"/>
              </w:rPr>
              <w:footnoteReference w:id="5"/>
            </w:r>
          </w:p>
        </w:tc>
        <w:tc>
          <w:tcPr>
            <w:tcW w:w="1113"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Contrôles continus</w:t>
            </w:r>
            <w:r w:rsidRPr="00CA6FD2">
              <w:rPr>
                <w:rFonts w:asciiTheme="minorHAnsi" w:eastAsia="Times New Roman" w:hAnsiTheme="minorHAnsi" w:cs="Times New Roman"/>
                <w:i/>
                <w:vertAlign w:val="superscript"/>
                <w:lang w:eastAsia="fr-FR"/>
              </w:rPr>
              <w:footnoteReference w:id="6"/>
            </w:r>
          </w:p>
        </w:tc>
        <w:tc>
          <w:tcPr>
            <w:tcW w:w="1080"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EFCF</w:t>
            </w:r>
            <w:r w:rsidRPr="00CA6FD2">
              <w:rPr>
                <w:rFonts w:asciiTheme="minorHAnsi" w:eastAsia="Times New Roman" w:hAnsiTheme="minorHAnsi" w:cs="Times New Roman"/>
                <w:i/>
                <w:vertAlign w:val="superscript"/>
                <w:lang w:eastAsia="fr-FR"/>
              </w:rPr>
              <w:footnoteReference w:id="7"/>
            </w:r>
          </w:p>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Théorique</w:t>
            </w:r>
          </w:p>
        </w:tc>
        <w:tc>
          <w:tcPr>
            <w:tcW w:w="1080"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EFCF</w:t>
            </w:r>
            <w:r w:rsidRPr="00CA6FD2">
              <w:rPr>
                <w:rFonts w:asciiTheme="minorHAnsi" w:eastAsia="Times New Roman" w:hAnsiTheme="minorHAnsi" w:cs="Times New Roman"/>
                <w:i/>
                <w:vertAlign w:val="superscript"/>
                <w:lang w:eastAsia="fr-FR"/>
              </w:rPr>
              <w:footnoteReference w:id="8"/>
            </w:r>
          </w:p>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Pratique</w:t>
            </w:r>
          </w:p>
        </w:tc>
        <w:tc>
          <w:tcPr>
            <w:tcW w:w="4239" w:type="dxa"/>
            <w:gridSpan w:val="4"/>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Observations / Commentaires</w:t>
            </w:r>
          </w:p>
        </w:tc>
      </w:tr>
      <w:tr w:rsidR="00CA6FD2" w:rsidRPr="00CA6FD2" w:rsidTr="0052675C">
        <w:trPr>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1. 1</w:t>
            </w:r>
          </w:p>
        </w:tc>
        <w:tc>
          <w:tcPr>
            <w:tcW w:w="567"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1.1</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  .  .  .  .  .  .  .  .  .  .  .  .  .  .</w:t>
            </w:r>
          </w:p>
        </w:tc>
      </w:tr>
      <w:tr w:rsidR="00CA6FD2" w:rsidRPr="00CA6FD2" w:rsidTr="0052675C">
        <w:trPr>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1. 2</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1.2</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  .  .  .  .  .  .  .  .  .  .  .  .  .  .</w:t>
            </w:r>
          </w:p>
        </w:tc>
      </w:tr>
      <w:tr w:rsidR="00CA6FD2" w:rsidRPr="00CA6FD2" w:rsidTr="0052675C">
        <w:trPr>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1. 3</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1.3</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  .  .  .  .  .  .  .  .  .  .  .  .  .  .</w:t>
            </w:r>
          </w:p>
        </w:tc>
      </w:tr>
      <w:tr w:rsidR="00CA6FD2" w:rsidRPr="00CA6FD2" w:rsidTr="0052675C">
        <w:trPr>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1. 4</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1.4</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  .  .  .  .  .  .  .  .  .  .  .  .  .  .</w:t>
            </w:r>
          </w:p>
        </w:tc>
      </w:tr>
      <w:tr w:rsidR="00CA6FD2" w:rsidRPr="00CA6FD2" w:rsidTr="0052675C">
        <w:trPr>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  .  .  .  .  .  .  .  .  .  .  .  .  .  .</w:t>
            </w:r>
          </w:p>
        </w:tc>
      </w:tr>
      <w:tr w:rsidR="00CA6FD2" w:rsidRPr="00CA6FD2" w:rsidTr="0052675C">
        <w:trPr>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1. n</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1.n</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  .  .  .  .  .  .  .  .  .  .  .  .  .  .</w:t>
            </w:r>
          </w:p>
        </w:tc>
      </w:tr>
      <w:tr w:rsidR="00CA6FD2" w:rsidRPr="00CA6FD2" w:rsidTr="0052675C">
        <w:trPr>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Stages en</w:t>
            </w:r>
            <w:r w:rsidRPr="00CA6FD2">
              <w:rPr>
                <w:rFonts w:asciiTheme="minorHAnsi" w:eastAsia="Times New Roman" w:hAnsiTheme="minorHAnsi" w:cs="Times New Roman"/>
                <w:i/>
                <w:vertAlign w:val="superscript"/>
                <w:lang w:eastAsia="fr-FR"/>
              </w:rPr>
              <w:footnoteReference w:id="9"/>
            </w:r>
          </w:p>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Entreprises</w:t>
            </w:r>
          </w:p>
        </w:tc>
        <w:tc>
          <w:tcPr>
            <w:tcW w:w="567"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1.s</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4239"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  .  .  .  .  .  .  .  .  .  .  .  .  .  .</w:t>
            </w:r>
          </w:p>
        </w:tc>
      </w:tr>
      <w:tr w:rsidR="00CA6FD2" w:rsidRPr="00CA6FD2" w:rsidTr="0052675C">
        <w:trPr>
          <w:cantSplit/>
        </w:trPr>
        <w:tc>
          <w:tcPr>
            <w:tcW w:w="9709" w:type="dxa"/>
            <w:gridSpan w:val="9"/>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A6FD2" w:rsidTr="0052675C">
        <w:trPr>
          <w:cantSplit/>
          <w:trHeight w:val="233"/>
        </w:trPr>
        <w:tc>
          <w:tcPr>
            <w:tcW w:w="2197" w:type="dxa"/>
            <w:gridSpan w:val="2"/>
            <w:vMerge w:val="restart"/>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Moyenne des notes</w:t>
            </w:r>
          </w:p>
        </w:tc>
        <w:tc>
          <w:tcPr>
            <w:tcW w:w="1113" w:type="dxa"/>
            <w:vMerge w:val="restart"/>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MCC1</w:t>
            </w:r>
          </w:p>
        </w:tc>
        <w:tc>
          <w:tcPr>
            <w:tcW w:w="1080" w:type="dxa"/>
            <w:vMerge w:val="restart"/>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MEFCFT1</w:t>
            </w:r>
          </w:p>
        </w:tc>
        <w:tc>
          <w:tcPr>
            <w:tcW w:w="1080" w:type="dxa"/>
            <w:vMerge w:val="restart"/>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MEFCFP1</w:t>
            </w:r>
          </w:p>
        </w:tc>
        <w:tc>
          <w:tcPr>
            <w:tcW w:w="1080" w:type="dxa"/>
            <w:vMerge w:val="restart"/>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Moyenne</w:t>
            </w:r>
          </w:p>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Pondérée</w:t>
            </w:r>
          </w:p>
        </w:tc>
        <w:tc>
          <w:tcPr>
            <w:tcW w:w="3159" w:type="dxa"/>
            <w:gridSpan w:val="3"/>
            <w:tcBorders>
              <w:bottom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 xml:space="preserve">(MCC1 x3 + </w:t>
            </w:r>
            <w:r w:rsidRPr="00CA6FD2">
              <w:rPr>
                <w:rFonts w:asciiTheme="minorHAnsi" w:eastAsia="Times New Roman" w:hAnsiTheme="minorHAnsi" w:cs="Times New Roman"/>
                <w:b/>
                <w:bCs/>
                <w:i/>
                <w:lang w:eastAsia="fr-FR"/>
              </w:rPr>
              <w:t>MEFCFT1x 2 + MEFCFP1x 3)</w:t>
            </w:r>
          </w:p>
        </w:tc>
      </w:tr>
      <w:tr w:rsidR="00CA6FD2" w:rsidRPr="00CA6FD2" w:rsidTr="0052675C">
        <w:trPr>
          <w:cantSplit/>
          <w:trHeight w:val="232"/>
        </w:trPr>
        <w:tc>
          <w:tcPr>
            <w:tcW w:w="2197" w:type="dxa"/>
            <w:gridSpan w:val="2"/>
            <w:vMerge/>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113" w:type="dxa"/>
            <w:vMerge/>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080" w:type="dxa"/>
            <w:vMerge/>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080" w:type="dxa"/>
            <w:vMerge/>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080" w:type="dxa"/>
            <w:vMerge/>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c>
          <w:tcPr>
            <w:tcW w:w="360" w:type="dxa"/>
            <w:tcBorders>
              <w:top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c>
          <w:tcPr>
            <w:tcW w:w="2340" w:type="dxa"/>
            <w:tcBorders>
              <w:top w:val="single" w:sz="4" w:space="0" w:color="auto"/>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8</w:t>
            </w:r>
          </w:p>
        </w:tc>
        <w:tc>
          <w:tcPr>
            <w:tcW w:w="459" w:type="dxa"/>
            <w:tcBorders>
              <w:top w:val="nil"/>
              <w:lef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r>
      <w:tr w:rsidR="00CA6FD2" w:rsidRPr="00CA6FD2" w:rsidTr="0052675C">
        <w:trPr>
          <w:cantSplit/>
        </w:trPr>
        <w:tc>
          <w:tcPr>
            <w:tcW w:w="9709" w:type="dxa"/>
            <w:gridSpan w:val="9"/>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A6FD2" w:rsidTr="0052675C">
        <w:trPr>
          <w:cantSplit/>
        </w:trPr>
        <w:tc>
          <w:tcPr>
            <w:tcW w:w="3310" w:type="dxa"/>
            <w:gridSpan w:val="3"/>
            <w:shd w:val="clear" w:color="auto" w:fill="D9D9D9"/>
            <w:vAlign w:val="center"/>
          </w:tcPr>
          <w:p w:rsidR="00CA6FD2" w:rsidRPr="00CA6FD2" w:rsidRDefault="00CA6FD2" w:rsidP="00CA6FD2">
            <w:pPr>
              <w:spacing w:before="0" w:after="0" w:line="240" w:lineRule="auto"/>
              <w:ind w:left="142"/>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Décision / Commentaires :</w:t>
            </w:r>
          </w:p>
        </w:tc>
        <w:tc>
          <w:tcPr>
            <w:tcW w:w="6399" w:type="dxa"/>
            <w:gridSpan w:val="6"/>
            <w:vAlign w:val="center"/>
          </w:tcPr>
          <w:p w:rsidR="00CA6FD2" w:rsidRPr="00CA6FD2" w:rsidRDefault="00CA6FD2" w:rsidP="00CA6FD2">
            <w:pPr>
              <w:spacing w:before="0" w:after="0" w:line="240" w:lineRule="auto"/>
              <w:jc w:val="center"/>
              <w:rPr>
                <w:rFonts w:asciiTheme="minorHAnsi" w:eastAsia="Times New Roman" w:hAnsiTheme="minorHAnsi" w:cs="Times New Roman"/>
                <w:b/>
                <w:i/>
                <w:color w:val="999999"/>
                <w:lang w:eastAsia="fr-FR"/>
              </w:rPr>
            </w:pPr>
            <w:r w:rsidRPr="00CA6FD2">
              <w:rPr>
                <w:rFonts w:asciiTheme="minorHAnsi" w:eastAsia="Times New Roman" w:hAnsiTheme="minorHAnsi" w:cs="Times New Roman"/>
                <w:b/>
                <w:i/>
                <w:color w:val="999999"/>
                <w:lang w:eastAsia="fr-FR"/>
              </w:rPr>
              <w:t xml:space="preserve">.  .  .  .  .  .  .  .  .  .  .  .  .  .  .  .  .  . .  .  .  .  .  .  .  .  .  </w:t>
            </w:r>
          </w:p>
        </w:tc>
      </w:tr>
    </w:tbl>
    <w:p w:rsidR="00CA6FD2" w:rsidRPr="00CA6FD2" w:rsidRDefault="00CA6FD2" w:rsidP="00CA6FD2">
      <w:pPr>
        <w:spacing w:before="0" w:after="0" w:line="240" w:lineRule="auto"/>
        <w:rPr>
          <w:rFonts w:asciiTheme="minorHAnsi" w:eastAsia="Times New Roman" w:hAnsiTheme="minorHAnsi" w:cs="Times New Roman"/>
          <w:bCs/>
          <w:i/>
          <w:lang w:eastAsia="fr-FR"/>
        </w:rPr>
      </w:pPr>
      <w:r w:rsidRPr="00CA6FD2">
        <w:rPr>
          <w:rFonts w:asciiTheme="minorHAnsi" w:eastAsia="Times New Roman" w:hAnsiTheme="minorHAnsi" w:cs="Times New Roman"/>
          <w:bCs/>
          <w:i/>
          <w:lang w:eastAsia="fr-FR"/>
        </w:rPr>
        <w:t>Toutes les notes sont calculées sur une échelle de 20.</w:t>
      </w:r>
    </w:p>
    <w:p w:rsidR="00CA6FD2" w:rsidRPr="00CA6FD2" w:rsidRDefault="00CA6FD2" w:rsidP="00CA6FD2">
      <w:pPr>
        <w:spacing w:before="0" w:after="0" w:line="240" w:lineRule="auto"/>
        <w:jc w:val="both"/>
        <w:rPr>
          <w:rFonts w:asciiTheme="minorHAnsi" w:eastAsia="Times New Roman" w:hAnsiTheme="minorHAnsi" w:cs="Times New Roman"/>
          <w:bCs/>
          <w:i/>
          <w:lang w:eastAsia="fr-FR"/>
        </w:rPr>
      </w:pPr>
      <w:r w:rsidRPr="00CA6FD2">
        <w:rPr>
          <w:rFonts w:asciiTheme="minorHAnsi" w:eastAsia="Times New Roman" w:hAnsiTheme="minorHAnsi" w:cs="Times New Roman"/>
          <w:bCs/>
          <w:i/>
          <w:lang w:eastAsia="fr-FR"/>
        </w:rPr>
        <w:t>La moyenne générale de la première année représente la moyenne pondérée qui constitue seulement le seuil minimal de passage en deuxième année qui doit être ≥ 10/20. Si cette moyenne est comprise entre 08/20 et 10/20, le jury d’examens examine la situation des stagiaires concernés et propose au Secrétariat d’Etat chargé de la Formation Professionnelle, les propositions pour :</w:t>
      </w:r>
    </w:p>
    <w:p w:rsidR="00CA6FD2" w:rsidRPr="00CA6FD2" w:rsidRDefault="00CA6FD2" w:rsidP="00CA6FD2">
      <w:pPr>
        <w:numPr>
          <w:ilvl w:val="0"/>
          <w:numId w:val="17"/>
        </w:numPr>
        <w:spacing w:before="0" w:after="0" w:line="240" w:lineRule="auto"/>
        <w:ind w:left="360"/>
        <w:jc w:val="both"/>
        <w:rPr>
          <w:rFonts w:asciiTheme="minorHAnsi" w:eastAsia="Times New Roman" w:hAnsiTheme="minorHAnsi" w:cs="Times New Roman"/>
          <w:bCs/>
          <w:i/>
          <w:lang w:eastAsia="fr-FR"/>
        </w:rPr>
      </w:pPr>
      <w:r w:rsidRPr="00CA6FD2">
        <w:rPr>
          <w:rFonts w:asciiTheme="minorHAnsi" w:eastAsia="Times New Roman" w:hAnsiTheme="minorHAnsi" w:cs="Times New Roman"/>
          <w:bCs/>
          <w:i/>
          <w:lang w:eastAsia="fr-FR"/>
        </w:rPr>
        <w:t>soit permettre au stagiaire de passer en deuxième année (rachat) ;</w:t>
      </w:r>
    </w:p>
    <w:p w:rsidR="00CA6FD2" w:rsidRPr="00CA6FD2" w:rsidRDefault="00CA6FD2" w:rsidP="00CA6FD2">
      <w:pPr>
        <w:numPr>
          <w:ilvl w:val="0"/>
          <w:numId w:val="17"/>
        </w:numPr>
        <w:spacing w:before="0" w:after="0" w:line="240" w:lineRule="auto"/>
        <w:ind w:left="360"/>
        <w:jc w:val="both"/>
        <w:rPr>
          <w:rFonts w:asciiTheme="minorHAnsi" w:eastAsia="Times New Roman" w:hAnsiTheme="minorHAnsi" w:cs="Times New Roman"/>
          <w:bCs/>
          <w:i/>
          <w:lang w:eastAsia="fr-FR"/>
        </w:rPr>
      </w:pPr>
      <w:r w:rsidRPr="00CA6FD2">
        <w:rPr>
          <w:rFonts w:asciiTheme="minorHAnsi" w:eastAsia="Times New Roman" w:hAnsiTheme="minorHAnsi" w:cs="Times New Roman"/>
          <w:bCs/>
          <w:i/>
          <w:lang w:eastAsia="fr-FR"/>
        </w:rPr>
        <w:t>soit autoriser le stagiaire à redoubler (une seule fois durant la durée de la filière de formation) ;</w:t>
      </w:r>
    </w:p>
    <w:p w:rsidR="00CA6FD2" w:rsidRPr="00CA6FD2" w:rsidRDefault="00CA6FD2" w:rsidP="00CA6FD2">
      <w:pPr>
        <w:numPr>
          <w:ilvl w:val="0"/>
          <w:numId w:val="17"/>
        </w:numPr>
        <w:spacing w:before="0" w:after="0" w:line="240" w:lineRule="auto"/>
        <w:ind w:left="360"/>
        <w:jc w:val="both"/>
        <w:rPr>
          <w:rFonts w:asciiTheme="minorHAnsi" w:eastAsia="Times New Roman" w:hAnsiTheme="minorHAnsi" w:cs="Times New Roman"/>
          <w:bCs/>
          <w:i/>
          <w:lang w:eastAsia="fr-FR"/>
        </w:rPr>
      </w:pPr>
      <w:r w:rsidRPr="00CA6FD2">
        <w:rPr>
          <w:rFonts w:asciiTheme="minorHAnsi" w:eastAsia="Times New Roman" w:hAnsiTheme="minorHAnsi" w:cs="Times New Roman"/>
          <w:bCs/>
          <w:i/>
          <w:lang w:eastAsia="fr-FR"/>
        </w:rPr>
        <w:t>soit réorienter le stagiaire vers une nouvelle filière (exclusivement en première année).</w:t>
      </w:r>
    </w:p>
    <w:p w:rsidR="00CA6FD2" w:rsidRPr="00CA6FD2" w:rsidRDefault="00CA6FD2" w:rsidP="00CA6FD2">
      <w:pPr>
        <w:spacing w:before="0" w:after="0" w:line="240" w:lineRule="auto"/>
        <w:jc w:val="both"/>
        <w:rPr>
          <w:rFonts w:asciiTheme="minorHAnsi" w:eastAsia="Times New Roman" w:hAnsiTheme="minorHAnsi" w:cs="Times New Roman"/>
          <w:bCs/>
          <w:i/>
          <w:lang w:eastAsia="fr-FR"/>
        </w:rPr>
      </w:pPr>
      <w:r w:rsidRPr="00CA6FD2">
        <w:rPr>
          <w:rFonts w:asciiTheme="minorHAnsi" w:eastAsia="Times New Roman" w:hAnsiTheme="minorHAnsi" w:cs="Times New Roman"/>
          <w:bCs/>
          <w:i/>
          <w:lang w:eastAsia="fr-FR"/>
        </w:rPr>
        <w:t>Si cette moyenne est inférieure à 08/20, le stagiaire peut être exceptionnellement déclaré redoublant (une seule fois durant la durée de la filière de formation).</w:t>
      </w:r>
    </w:p>
    <w:p w:rsidR="00CA6FD2" w:rsidRPr="00CA6FD2" w:rsidRDefault="00CA6FD2" w:rsidP="00CA6FD2">
      <w:pPr>
        <w:pBdr>
          <w:bottom w:val="single" w:sz="4" w:space="1" w:color="auto"/>
        </w:pBdr>
        <w:spacing w:before="0" w:after="0" w:line="120" w:lineRule="exact"/>
        <w:ind w:right="-82"/>
        <w:jc w:val="both"/>
        <w:rPr>
          <w:rFonts w:asciiTheme="minorHAnsi" w:eastAsia="Times New Roman" w:hAnsiTheme="minorHAnsi" w:cs="Times New Roman"/>
          <w:bCs/>
          <w:i/>
          <w:lang w:eastAsia="fr-FR"/>
        </w:rPr>
      </w:pPr>
    </w:p>
    <w:p w:rsidR="00CA6FD2" w:rsidRPr="00CA6FD2" w:rsidRDefault="00CA6FD2" w:rsidP="00CA6FD2">
      <w:pPr>
        <w:spacing w:before="0" w:after="0" w:line="120" w:lineRule="exact"/>
        <w:jc w:val="both"/>
        <w:rPr>
          <w:rFonts w:asciiTheme="minorHAnsi" w:eastAsia="Times New Roman" w:hAnsiTheme="minorHAnsi" w:cs="Times New Roman"/>
          <w:bCs/>
          <w:i/>
          <w:smallCaps/>
          <w:lang w:eastAsia="fr-FR"/>
        </w:rPr>
      </w:pPr>
    </w:p>
    <w:p w:rsidR="00CA6FD2" w:rsidRPr="00CA6FD2" w:rsidRDefault="00CA6FD2" w:rsidP="00CA6FD2">
      <w:pPr>
        <w:spacing w:before="0" w:after="0" w:line="240" w:lineRule="auto"/>
        <w:jc w:val="center"/>
        <w:rPr>
          <w:rFonts w:asciiTheme="minorHAnsi" w:eastAsia="Times New Roman" w:hAnsiTheme="minorHAnsi" w:cs="Times New Roman"/>
          <w:b/>
          <w:bCs/>
          <w:i/>
          <w:smallCaps/>
          <w:lang w:eastAsia="fr-FR"/>
        </w:rPr>
      </w:pPr>
      <w:r w:rsidRPr="00CA6FD2">
        <w:rPr>
          <w:rFonts w:asciiTheme="minorHAnsi" w:eastAsia="Times New Roman" w:hAnsiTheme="minorHAnsi" w:cs="Times New Roman"/>
          <w:b/>
          <w:bCs/>
          <w:i/>
          <w:smallCaps/>
          <w:lang w:eastAsia="fr-FR"/>
        </w:rPr>
        <w:t>Système d’évaluation en 2ème année de formation</w:t>
      </w:r>
    </w:p>
    <w:p w:rsidR="00CA6FD2" w:rsidRPr="00CA6FD2" w:rsidRDefault="00CA6FD2" w:rsidP="00CA6FD2">
      <w:pPr>
        <w:spacing w:before="0" w:after="0" w:line="240" w:lineRule="auto"/>
        <w:rPr>
          <w:rFonts w:asciiTheme="minorHAnsi" w:eastAsia="Times New Roman" w:hAnsiTheme="minorHAnsi" w:cs="Times New Roman"/>
          <w:i/>
          <w:smallCaps/>
          <w:lang w:eastAsia="fr-FR"/>
        </w:rPr>
      </w:pPr>
    </w:p>
    <w:tbl>
      <w:tblPr>
        <w:tblW w:w="91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630"/>
        <w:gridCol w:w="567"/>
        <w:gridCol w:w="1113"/>
        <w:gridCol w:w="1080"/>
        <w:gridCol w:w="1080"/>
        <w:gridCol w:w="1080"/>
        <w:gridCol w:w="360"/>
        <w:gridCol w:w="2091"/>
        <w:gridCol w:w="141"/>
        <w:gridCol w:w="19"/>
      </w:tblGrid>
      <w:tr w:rsidR="00CA6FD2" w:rsidRPr="00CA6FD2" w:rsidTr="00760193">
        <w:trPr>
          <w:gridAfter w:val="1"/>
          <w:wAfter w:w="19" w:type="dxa"/>
          <w:cantSplit/>
        </w:trPr>
        <w:tc>
          <w:tcPr>
            <w:tcW w:w="2197" w:type="dxa"/>
            <w:gridSpan w:val="2"/>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 xml:space="preserve">Unités de </w:t>
            </w:r>
            <w:r w:rsidRPr="00CA6FD2">
              <w:rPr>
                <w:rFonts w:asciiTheme="minorHAnsi" w:eastAsia="Times New Roman" w:hAnsiTheme="minorHAnsi" w:cs="Times New Roman"/>
                <w:i/>
                <w:caps/>
                <w:lang w:eastAsia="fr-FR"/>
              </w:rPr>
              <w:t>f</w:t>
            </w:r>
            <w:r w:rsidRPr="00CA6FD2">
              <w:rPr>
                <w:rFonts w:asciiTheme="minorHAnsi" w:eastAsia="Times New Roman" w:hAnsiTheme="minorHAnsi" w:cs="Times New Roman"/>
                <w:i/>
                <w:lang w:eastAsia="fr-FR"/>
              </w:rPr>
              <w:t>ormation</w:t>
            </w:r>
          </w:p>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Et Coefficient</w:t>
            </w:r>
          </w:p>
        </w:tc>
        <w:tc>
          <w:tcPr>
            <w:tcW w:w="1113"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Contrôles continus</w:t>
            </w:r>
          </w:p>
        </w:tc>
        <w:tc>
          <w:tcPr>
            <w:tcW w:w="1080"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EFCF</w:t>
            </w:r>
          </w:p>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Théorique</w:t>
            </w:r>
          </w:p>
        </w:tc>
        <w:tc>
          <w:tcPr>
            <w:tcW w:w="1080"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EFCF</w:t>
            </w:r>
          </w:p>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Pratique</w:t>
            </w:r>
          </w:p>
        </w:tc>
        <w:tc>
          <w:tcPr>
            <w:tcW w:w="3672" w:type="dxa"/>
            <w:gridSpan w:val="4"/>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Observations / Commentaires</w:t>
            </w:r>
          </w:p>
        </w:tc>
      </w:tr>
      <w:tr w:rsidR="00CA6FD2" w:rsidRPr="00CA6FD2" w:rsidTr="00760193">
        <w:trPr>
          <w:gridAfter w:val="1"/>
          <w:wAfter w:w="19" w:type="dxa"/>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lastRenderedPageBreak/>
              <w:t>U F  2. 1</w:t>
            </w:r>
          </w:p>
        </w:tc>
        <w:tc>
          <w:tcPr>
            <w:tcW w:w="567"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2.1</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vAlign w:val="center"/>
          </w:tcPr>
          <w:p w:rsidR="00CA6FD2" w:rsidRPr="00CA6FD2" w:rsidRDefault="00CA6FD2" w:rsidP="00760193">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  .  .  .  .  .  .  .  .  .  .  .</w:t>
            </w:r>
            <w:r w:rsidR="00760193">
              <w:rPr>
                <w:rFonts w:asciiTheme="minorHAnsi" w:eastAsia="Times New Roman" w:hAnsiTheme="minorHAnsi" w:cs="Times New Roman"/>
                <w:bCs/>
                <w:i/>
                <w:color w:val="999999"/>
                <w:lang w:eastAsia="fr-FR"/>
              </w:rPr>
              <w:t xml:space="preserve">  .  .  .  .  .  .  .  .  .  .</w:t>
            </w:r>
            <w:r w:rsidRPr="00CA6FD2">
              <w:rPr>
                <w:rFonts w:asciiTheme="minorHAnsi" w:eastAsia="Times New Roman" w:hAnsiTheme="minorHAnsi" w:cs="Times New Roman"/>
                <w:bCs/>
                <w:i/>
                <w:color w:val="999999"/>
                <w:lang w:eastAsia="fr-FR"/>
              </w:rPr>
              <w:t>.</w:t>
            </w:r>
          </w:p>
        </w:tc>
      </w:tr>
      <w:tr w:rsidR="00CA6FD2" w:rsidRPr="00CA6FD2" w:rsidTr="00760193">
        <w:trPr>
          <w:gridAfter w:val="1"/>
          <w:wAfter w:w="19" w:type="dxa"/>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2. 2</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2.2</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A6FD2" w:rsidRDefault="00CA6FD2" w:rsidP="00760193">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bCs/>
                <w:i/>
                <w:color w:val="999999"/>
                <w:lang w:eastAsia="fr-FR"/>
              </w:rPr>
              <w:t xml:space="preserve">.  .  .  .  .  .  .  .  .  .  .  .  .  .  .  .  .  .  .  .  .  .  .  </w:t>
            </w:r>
          </w:p>
        </w:tc>
      </w:tr>
      <w:tr w:rsidR="00CA6FD2" w:rsidRPr="00CA6FD2" w:rsidTr="00760193">
        <w:trPr>
          <w:gridAfter w:val="1"/>
          <w:wAfter w:w="19" w:type="dxa"/>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2. 3</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2.3</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A6FD2" w:rsidRDefault="00CA6FD2" w:rsidP="00760193">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bCs/>
                <w:i/>
                <w:color w:val="999999"/>
                <w:lang w:eastAsia="fr-FR"/>
              </w:rPr>
              <w:t xml:space="preserve">.  .  .  .  .  .  .  .  .  .  .  .  .  .  .  .  .  .  .  .  .  .  .  </w:t>
            </w:r>
          </w:p>
        </w:tc>
      </w:tr>
      <w:tr w:rsidR="00CA6FD2" w:rsidRPr="00CA6FD2" w:rsidTr="00760193">
        <w:trPr>
          <w:gridAfter w:val="1"/>
          <w:wAfter w:w="19" w:type="dxa"/>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2. 4</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2.4</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A6FD2" w:rsidRDefault="00CA6FD2" w:rsidP="00760193">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bCs/>
                <w:i/>
                <w:color w:val="999999"/>
                <w:lang w:eastAsia="fr-FR"/>
              </w:rPr>
              <w:t xml:space="preserve">.  .  .  .  .  .  .  .  .  .  .  .  .  .  .  .  .  .  .  .  .  .  .  </w:t>
            </w:r>
          </w:p>
        </w:tc>
      </w:tr>
      <w:tr w:rsidR="00CA6FD2" w:rsidRPr="00CA6FD2" w:rsidTr="00760193">
        <w:trPr>
          <w:gridAfter w:val="1"/>
          <w:wAfter w:w="19" w:type="dxa"/>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A6FD2" w:rsidRDefault="00CA6FD2" w:rsidP="00760193">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bCs/>
                <w:i/>
                <w:color w:val="999999"/>
                <w:lang w:eastAsia="fr-FR"/>
              </w:rPr>
              <w:t xml:space="preserve">.  .  .  .  .  .  .  .  .  .  .  .  .  .  .  .  .  .  .  .  .  .  .  </w:t>
            </w:r>
          </w:p>
        </w:tc>
      </w:tr>
      <w:tr w:rsidR="00CA6FD2" w:rsidRPr="00CA6FD2" w:rsidTr="00760193">
        <w:trPr>
          <w:gridAfter w:val="1"/>
          <w:wAfter w:w="19" w:type="dxa"/>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U F  2. n</w:t>
            </w:r>
          </w:p>
        </w:tc>
        <w:tc>
          <w:tcPr>
            <w:tcW w:w="567" w:type="dxa"/>
            <w:shd w:val="clear" w:color="auto" w:fill="D9D9D9"/>
            <w:vAlign w:val="center"/>
          </w:tcPr>
          <w:p w:rsidR="00CA6FD2" w:rsidRPr="00CA6FD2" w:rsidRDefault="00CA6FD2" w:rsidP="00CA6FD2">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2.n</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tcPr>
          <w:p w:rsidR="00CA6FD2" w:rsidRPr="00CA6FD2" w:rsidRDefault="00CA6FD2" w:rsidP="00760193">
            <w:pPr>
              <w:spacing w:before="0" w:after="0" w:line="240" w:lineRule="auto"/>
              <w:rPr>
                <w:rFonts w:asciiTheme="minorHAnsi" w:eastAsia="Times New Roman" w:hAnsiTheme="minorHAnsi" w:cs="Times New Roman"/>
                <w:i/>
                <w:lang w:eastAsia="fr-FR"/>
              </w:rPr>
            </w:pPr>
            <w:r w:rsidRPr="00CA6FD2">
              <w:rPr>
                <w:rFonts w:asciiTheme="minorHAnsi" w:eastAsia="Times New Roman" w:hAnsiTheme="minorHAnsi" w:cs="Times New Roman"/>
                <w:bCs/>
                <w:i/>
                <w:color w:val="999999"/>
                <w:lang w:eastAsia="fr-FR"/>
              </w:rPr>
              <w:t xml:space="preserve">.  .  .  .  .  .  .  .  .  .  .  .  .  .  .  .  .  .  .  .  .  .  .  </w:t>
            </w:r>
          </w:p>
        </w:tc>
      </w:tr>
      <w:tr w:rsidR="00CA6FD2" w:rsidRPr="00CA6FD2" w:rsidTr="00760193">
        <w:trPr>
          <w:gridAfter w:val="1"/>
          <w:wAfter w:w="19" w:type="dxa"/>
          <w:cantSplit/>
        </w:trPr>
        <w:tc>
          <w:tcPr>
            <w:tcW w:w="1630" w:type="dxa"/>
            <w:shd w:val="clear" w:color="auto" w:fill="D9D9D9"/>
            <w:vAlign w:val="center"/>
          </w:tcPr>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Stages en</w:t>
            </w:r>
            <w:r w:rsidRPr="00CA6FD2">
              <w:rPr>
                <w:rFonts w:asciiTheme="minorHAnsi" w:eastAsia="Times New Roman" w:hAnsiTheme="minorHAnsi" w:cs="Times New Roman"/>
                <w:i/>
                <w:vertAlign w:val="superscript"/>
                <w:lang w:eastAsia="fr-FR"/>
              </w:rPr>
              <w:t>9</w:t>
            </w:r>
          </w:p>
          <w:p w:rsidR="00CA6FD2" w:rsidRPr="00CA6FD2" w:rsidRDefault="00CA6FD2" w:rsidP="00CA6FD2">
            <w:pPr>
              <w:spacing w:before="0" w:after="0" w:line="240" w:lineRule="auto"/>
              <w:ind w:left="284"/>
              <w:jc w:val="both"/>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Entreprises</w:t>
            </w:r>
          </w:p>
        </w:tc>
        <w:tc>
          <w:tcPr>
            <w:tcW w:w="567"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r w:rsidRPr="00CA6FD2">
              <w:rPr>
                <w:rFonts w:asciiTheme="minorHAnsi" w:eastAsia="Times New Roman" w:hAnsiTheme="minorHAnsi" w:cs="Times New Roman"/>
                <w:i/>
                <w:lang w:eastAsia="fr-FR"/>
              </w:rPr>
              <w:t>C 2.s</w:t>
            </w:r>
          </w:p>
        </w:tc>
        <w:tc>
          <w:tcPr>
            <w:tcW w:w="1113"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1080" w:type="dxa"/>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c>
          <w:tcPr>
            <w:tcW w:w="3672" w:type="dxa"/>
            <w:gridSpan w:val="4"/>
            <w:vAlign w:val="center"/>
          </w:tcPr>
          <w:p w:rsidR="00CA6FD2" w:rsidRPr="00CA6FD2" w:rsidRDefault="00CA6FD2" w:rsidP="00760193">
            <w:pPr>
              <w:spacing w:before="0" w:after="0" w:line="240" w:lineRule="auto"/>
              <w:jc w:val="center"/>
              <w:rPr>
                <w:rFonts w:asciiTheme="minorHAnsi" w:eastAsia="Times New Roman" w:hAnsiTheme="minorHAnsi" w:cs="Times New Roman"/>
                <w:i/>
                <w:color w:val="999999"/>
                <w:lang w:eastAsia="fr-FR"/>
              </w:rPr>
            </w:pPr>
            <w:r w:rsidRPr="00CA6FD2">
              <w:rPr>
                <w:rFonts w:asciiTheme="minorHAnsi" w:eastAsia="Times New Roman" w:hAnsiTheme="minorHAnsi" w:cs="Times New Roman"/>
                <w:bCs/>
                <w:i/>
                <w:color w:val="999999"/>
                <w:lang w:eastAsia="fr-FR"/>
              </w:rPr>
              <w:t xml:space="preserve">.  .  .  .  .  .  .  .  .  .  .  .  .  .  .  .  .  .  .  .  .  .  .  </w:t>
            </w:r>
          </w:p>
        </w:tc>
      </w:tr>
      <w:tr w:rsidR="00CA6FD2" w:rsidRPr="00CA6FD2" w:rsidTr="00760193">
        <w:trPr>
          <w:gridAfter w:val="1"/>
          <w:wAfter w:w="19" w:type="dxa"/>
          <w:cantSplit/>
        </w:trPr>
        <w:tc>
          <w:tcPr>
            <w:tcW w:w="9142" w:type="dxa"/>
            <w:gridSpan w:val="9"/>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A6FD2" w:rsidTr="00760193">
        <w:trPr>
          <w:gridAfter w:val="1"/>
          <w:wAfter w:w="19" w:type="dxa"/>
          <w:cantSplit/>
          <w:trHeight w:val="233"/>
        </w:trPr>
        <w:tc>
          <w:tcPr>
            <w:tcW w:w="2197" w:type="dxa"/>
            <w:gridSpan w:val="2"/>
            <w:vMerge w:val="restart"/>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Moyenne des notes</w:t>
            </w:r>
          </w:p>
        </w:tc>
        <w:tc>
          <w:tcPr>
            <w:tcW w:w="1113" w:type="dxa"/>
            <w:vMerge w:val="restart"/>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MCC2</w:t>
            </w:r>
          </w:p>
        </w:tc>
        <w:tc>
          <w:tcPr>
            <w:tcW w:w="1080" w:type="dxa"/>
            <w:vMerge w:val="restart"/>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MEFCFT2</w:t>
            </w:r>
          </w:p>
        </w:tc>
        <w:tc>
          <w:tcPr>
            <w:tcW w:w="1080" w:type="dxa"/>
            <w:vMerge w:val="restart"/>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MEFCFP2</w:t>
            </w:r>
          </w:p>
        </w:tc>
        <w:tc>
          <w:tcPr>
            <w:tcW w:w="1080" w:type="dxa"/>
            <w:vMerge w:val="restart"/>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Moyenne</w:t>
            </w:r>
          </w:p>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Pondérée</w:t>
            </w:r>
          </w:p>
        </w:tc>
        <w:tc>
          <w:tcPr>
            <w:tcW w:w="2592" w:type="dxa"/>
            <w:gridSpan w:val="3"/>
            <w:tcBorders>
              <w:bottom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val="en-US" w:eastAsia="fr-FR"/>
              </w:rPr>
            </w:pPr>
            <w:r w:rsidRPr="00CA6FD2">
              <w:rPr>
                <w:rFonts w:asciiTheme="minorHAnsi" w:eastAsia="Times New Roman" w:hAnsiTheme="minorHAnsi" w:cs="Times New Roman"/>
                <w:b/>
                <w:i/>
                <w:lang w:val="en-US" w:eastAsia="fr-FR"/>
              </w:rPr>
              <w:t xml:space="preserve">(MCC2 x3 + </w:t>
            </w:r>
            <w:r w:rsidRPr="00CA6FD2">
              <w:rPr>
                <w:rFonts w:asciiTheme="minorHAnsi" w:eastAsia="Times New Roman" w:hAnsiTheme="minorHAnsi" w:cs="Times New Roman"/>
                <w:b/>
                <w:bCs/>
                <w:i/>
                <w:lang w:val="en-US" w:eastAsia="fr-FR"/>
              </w:rPr>
              <w:t>MEFCFT2 x2 + MEFCFP2 x3)</w:t>
            </w:r>
          </w:p>
        </w:tc>
      </w:tr>
      <w:tr w:rsidR="00CA6FD2" w:rsidRPr="00CA6FD2" w:rsidTr="00760193">
        <w:trPr>
          <w:cantSplit/>
          <w:trHeight w:val="232"/>
        </w:trPr>
        <w:tc>
          <w:tcPr>
            <w:tcW w:w="2197" w:type="dxa"/>
            <w:gridSpan w:val="2"/>
            <w:vMerge/>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113" w:type="dxa"/>
            <w:vMerge/>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080" w:type="dxa"/>
            <w:vMerge/>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080" w:type="dxa"/>
            <w:vMerge/>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val="en-US" w:eastAsia="fr-FR"/>
              </w:rPr>
            </w:pPr>
          </w:p>
        </w:tc>
        <w:tc>
          <w:tcPr>
            <w:tcW w:w="1080" w:type="dxa"/>
            <w:vMerge/>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val="en-US" w:eastAsia="fr-FR"/>
              </w:rPr>
            </w:pPr>
          </w:p>
        </w:tc>
        <w:tc>
          <w:tcPr>
            <w:tcW w:w="360" w:type="dxa"/>
            <w:tcBorders>
              <w:top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val="en-US" w:eastAsia="fr-FR"/>
              </w:rPr>
            </w:pPr>
          </w:p>
        </w:tc>
        <w:tc>
          <w:tcPr>
            <w:tcW w:w="2091" w:type="dxa"/>
            <w:tcBorders>
              <w:top w:val="single" w:sz="4" w:space="0" w:color="auto"/>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8</w:t>
            </w:r>
          </w:p>
        </w:tc>
        <w:tc>
          <w:tcPr>
            <w:tcW w:w="160" w:type="dxa"/>
            <w:gridSpan w:val="2"/>
            <w:tcBorders>
              <w:top w:val="nil"/>
              <w:lef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r>
      <w:tr w:rsidR="00CA6FD2" w:rsidRPr="00CA6FD2" w:rsidTr="00760193">
        <w:trPr>
          <w:gridAfter w:val="1"/>
          <w:wAfter w:w="19" w:type="dxa"/>
          <w:cantSplit/>
        </w:trPr>
        <w:tc>
          <w:tcPr>
            <w:tcW w:w="9142" w:type="dxa"/>
            <w:gridSpan w:val="9"/>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i/>
                <w:lang w:eastAsia="fr-FR"/>
              </w:rPr>
            </w:pPr>
          </w:p>
        </w:tc>
      </w:tr>
      <w:tr w:rsidR="00CA6FD2" w:rsidRPr="00CA6FD2" w:rsidTr="00760193">
        <w:trPr>
          <w:gridAfter w:val="1"/>
          <w:wAfter w:w="19" w:type="dxa"/>
          <w:cantSplit/>
        </w:trPr>
        <w:tc>
          <w:tcPr>
            <w:tcW w:w="3310" w:type="dxa"/>
            <w:gridSpan w:val="3"/>
            <w:shd w:val="clear" w:color="auto" w:fill="D9D9D9"/>
            <w:vAlign w:val="center"/>
          </w:tcPr>
          <w:p w:rsidR="00CA6FD2" w:rsidRPr="00CA6FD2" w:rsidRDefault="00CA6FD2" w:rsidP="00CA6FD2">
            <w:pPr>
              <w:spacing w:before="0" w:after="0" w:line="240" w:lineRule="auto"/>
              <w:ind w:left="142"/>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Décision / Commentaires :</w:t>
            </w:r>
          </w:p>
        </w:tc>
        <w:tc>
          <w:tcPr>
            <w:tcW w:w="5832" w:type="dxa"/>
            <w:gridSpan w:val="6"/>
            <w:vAlign w:val="center"/>
          </w:tcPr>
          <w:p w:rsidR="00CA6FD2" w:rsidRPr="00CA6FD2" w:rsidRDefault="00CA6FD2" w:rsidP="00CA6FD2">
            <w:pPr>
              <w:spacing w:before="0" w:after="0" w:line="240" w:lineRule="auto"/>
              <w:jc w:val="center"/>
              <w:rPr>
                <w:rFonts w:asciiTheme="minorHAnsi" w:eastAsia="Times New Roman" w:hAnsiTheme="minorHAnsi" w:cs="Times New Roman"/>
                <w:b/>
                <w:i/>
                <w:color w:val="999999"/>
                <w:lang w:eastAsia="fr-FR"/>
              </w:rPr>
            </w:pPr>
            <w:r w:rsidRPr="00CA6FD2">
              <w:rPr>
                <w:rFonts w:asciiTheme="minorHAnsi" w:eastAsia="Times New Roman" w:hAnsiTheme="minorHAnsi" w:cs="Times New Roman"/>
                <w:b/>
                <w:i/>
                <w:color w:val="999999"/>
                <w:lang w:eastAsia="fr-FR"/>
              </w:rPr>
              <w:t xml:space="preserve">.  .  .  .  .  .  .  .  .  .  .  .  .  .  .  .  .  . .  .  .  .  .  .  .  </w:t>
            </w:r>
          </w:p>
        </w:tc>
      </w:tr>
    </w:tbl>
    <w:p w:rsidR="00CA6FD2" w:rsidRPr="00CA6FD2" w:rsidRDefault="00CA6FD2" w:rsidP="00CA6FD2">
      <w:pPr>
        <w:spacing w:before="0" w:after="0" w:line="240" w:lineRule="auto"/>
        <w:rPr>
          <w:rFonts w:asciiTheme="minorHAnsi" w:eastAsia="Times New Roman" w:hAnsiTheme="minorHAnsi" w:cs="Times New Roman"/>
          <w:bCs/>
          <w:i/>
          <w:lang w:eastAsia="fr-FR"/>
        </w:rPr>
      </w:pPr>
      <w:r w:rsidRPr="00CA6FD2">
        <w:rPr>
          <w:rFonts w:asciiTheme="minorHAnsi" w:eastAsia="Times New Roman" w:hAnsiTheme="minorHAnsi" w:cs="Times New Roman"/>
          <w:bCs/>
          <w:i/>
          <w:lang w:eastAsia="fr-FR"/>
        </w:rPr>
        <w:t>Toutes les notes sont calculées sur une échelle de 20.</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331"/>
        <w:gridCol w:w="1849"/>
      </w:tblGrid>
      <w:tr w:rsidR="00CA6FD2" w:rsidRPr="00CA6FD2" w:rsidTr="00760193">
        <w:tc>
          <w:tcPr>
            <w:tcW w:w="7331" w:type="dxa"/>
            <w:shd w:val="clear" w:color="auto" w:fill="D9D9D9"/>
            <w:vAlign w:val="center"/>
          </w:tcPr>
          <w:p w:rsidR="00CA6FD2" w:rsidRPr="00CA6FD2" w:rsidRDefault="00CA6FD2" w:rsidP="00CA6FD2">
            <w:pPr>
              <w:spacing w:before="0" w:after="0" w:line="240" w:lineRule="auto"/>
              <w:ind w:right="459"/>
              <w:jc w:val="center"/>
              <w:rPr>
                <w:rFonts w:asciiTheme="minorHAnsi" w:eastAsia="Times New Roman" w:hAnsiTheme="minorHAnsi" w:cs="Times New Roman"/>
                <w:i/>
                <w:lang w:eastAsia="fr-FR"/>
              </w:rPr>
            </w:pPr>
            <w:r w:rsidRPr="00CA6FD2">
              <w:rPr>
                <w:rFonts w:asciiTheme="minorHAnsi" w:eastAsia="Times New Roman" w:hAnsiTheme="minorHAnsi" w:cs="Times New Roman"/>
                <w:b/>
                <w:i/>
                <w:lang w:eastAsia="fr-FR"/>
              </w:rPr>
              <w:t>Note attribuée à la soutenance des travaux individuels de fin de formation</w:t>
            </w:r>
          </w:p>
        </w:tc>
        <w:tc>
          <w:tcPr>
            <w:tcW w:w="1849"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iCs/>
                <w:lang w:eastAsia="fr-FR"/>
              </w:rPr>
            </w:pPr>
            <w:r w:rsidRPr="00CA6FD2">
              <w:rPr>
                <w:rFonts w:asciiTheme="minorHAnsi" w:eastAsia="Times New Roman" w:hAnsiTheme="minorHAnsi" w:cs="Times New Roman"/>
                <w:b/>
                <w:bCs/>
                <w:i/>
                <w:iCs/>
                <w:lang w:eastAsia="fr-FR"/>
              </w:rPr>
              <w:t>/ 20</w:t>
            </w:r>
          </w:p>
        </w:tc>
      </w:tr>
    </w:tbl>
    <w:p w:rsidR="00CA6FD2" w:rsidRPr="00CA6FD2" w:rsidRDefault="00CA6FD2" w:rsidP="00CA6FD2">
      <w:pPr>
        <w:spacing w:before="0" w:after="0" w:line="240" w:lineRule="auto"/>
        <w:rPr>
          <w:rFonts w:asciiTheme="minorHAnsi" w:eastAsia="Times New Roman" w:hAnsiTheme="minorHAnsi" w:cs="Times New Roman"/>
          <w:b/>
          <w:bCs/>
          <w:i/>
          <w:lang w:eastAsia="fr-FR"/>
        </w:rPr>
      </w:pPr>
      <w:r w:rsidRPr="00CA6FD2">
        <w:rPr>
          <w:rFonts w:asciiTheme="minorHAnsi" w:eastAsia="Times New Roman" w:hAnsiTheme="minorHAnsi" w:cs="Times New Roman"/>
          <w:bCs/>
          <w:i/>
          <w:lang w:eastAsia="fr-FR"/>
        </w:rPr>
        <w:br w:type="page"/>
      </w:r>
      <w:r w:rsidRPr="00CA6FD2">
        <w:rPr>
          <w:rFonts w:asciiTheme="minorHAnsi" w:eastAsia="Times New Roman" w:hAnsiTheme="minorHAnsi" w:cs="Times New Roman"/>
          <w:b/>
          <w:i/>
          <w:lang w:eastAsia="fr-FR"/>
        </w:rPr>
        <w:lastRenderedPageBreak/>
        <w:t xml:space="preserve">Modalités de calcul de la note finale pour </w:t>
      </w:r>
      <w:r w:rsidRPr="00CA6FD2">
        <w:rPr>
          <w:rFonts w:asciiTheme="minorHAnsi" w:eastAsia="Times New Roman" w:hAnsiTheme="minorHAnsi" w:cs="Times New Roman"/>
          <w:b/>
          <w:bCs/>
          <w:i/>
          <w:lang w:eastAsia="fr-FR"/>
        </w:rPr>
        <w:t>l’obtention du Diplôme sanctionnant la filière</w:t>
      </w:r>
    </w:p>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 .  .  .  .  .  .  .  .  .  .  .  .  .  .  .  .  .  .  .  .  .  .  .  .  .  .  .  . »</w:t>
      </w:r>
    </w:p>
    <w:p w:rsidR="00CA6FD2" w:rsidRPr="00CA6FD2" w:rsidRDefault="00CA6FD2" w:rsidP="00CA6FD2">
      <w:pPr>
        <w:spacing w:before="0" w:after="0" w:line="240" w:lineRule="auto"/>
        <w:jc w:val="both"/>
        <w:rPr>
          <w:rFonts w:asciiTheme="minorHAnsi" w:eastAsia="Times New Roman" w:hAnsiTheme="minorHAnsi" w:cs="Times New Roman"/>
          <w:bCs/>
          <w:i/>
          <w:lang w:eastAsia="fr-FR"/>
        </w:rPr>
      </w:pPr>
    </w:p>
    <w:tbl>
      <w:tblPr>
        <w:tblW w:w="972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700"/>
        <w:gridCol w:w="180"/>
        <w:gridCol w:w="180"/>
        <w:gridCol w:w="900"/>
        <w:gridCol w:w="180"/>
        <w:gridCol w:w="180"/>
        <w:gridCol w:w="1620"/>
        <w:gridCol w:w="180"/>
        <w:gridCol w:w="180"/>
        <w:gridCol w:w="1080"/>
        <w:gridCol w:w="540"/>
        <w:gridCol w:w="180"/>
        <w:gridCol w:w="1620"/>
      </w:tblGrid>
      <w:tr w:rsidR="00CA6FD2" w:rsidRPr="00CA6FD2" w:rsidTr="0052675C">
        <w:trPr>
          <w:cantSplit/>
        </w:trPr>
        <w:tc>
          <w:tcPr>
            <w:tcW w:w="2700" w:type="dxa"/>
            <w:tcBorders>
              <w:top w:val="single" w:sz="4" w:space="0" w:color="auto"/>
              <w:left w:val="single" w:sz="4" w:space="0" w:color="auto"/>
              <w:bottom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Report des notes obtenues</w:t>
            </w:r>
          </w:p>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en 1</w:t>
            </w:r>
            <w:r w:rsidRPr="00CA6FD2">
              <w:rPr>
                <w:rFonts w:asciiTheme="minorHAnsi" w:eastAsia="Times New Roman" w:hAnsiTheme="minorHAnsi" w:cs="Times New Roman"/>
                <w:b/>
                <w:bCs/>
                <w:i/>
                <w:vertAlign w:val="superscript"/>
                <w:lang w:eastAsia="fr-FR"/>
              </w:rPr>
              <w:t>ère</w:t>
            </w:r>
            <w:r w:rsidRPr="00CA6FD2">
              <w:rPr>
                <w:rFonts w:asciiTheme="minorHAnsi" w:eastAsia="Times New Roman" w:hAnsiTheme="minorHAnsi" w:cs="Times New Roman"/>
                <w:b/>
                <w:bCs/>
                <w:i/>
                <w:lang w:eastAsia="fr-FR"/>
              </w:rPr>
              <w:t xml:space="preserve"> et 2</w:t>
            </w:r>
            <w:r w:rsidRPr="00CA6FD2">
              <w:rPr>
                <w:rFonts w:asciiTheme="minorHAnsi" w:eastAsia="Times New Roman" w:hAnsiTheme="minorHAnsi" w:cs="Times New Roman"/>
                <w:b/>
                <w:bCs/>
                <w:i/>
                <w:vertAlign w:val="superscript"/>
                <w:lang w:eastAsia="fr-FR"/>
              </w:rPr>
              <w:t>ème</w:t>
            </w:r>
            <w:r w:rsidRPr="00CA6FD2">
              <w:rPr>
                <w:rFonts w:asciiTheme="minorHAnsi" w:eastAsia="Times New Roman" w:hAnsiTheme="minorHAnsi" w:cs="Times New Roman"/>
                <w:b/>
                <w:bCs/>
                <w:i/>
                <w:lang w:eastAsia="fr-FR"/>
              </w:rPr>
              <w:t xml:space="preserve"> années</w:t>
            </w:r>
          </w:p>
        </w:tc>
        <w:tc>
          <w:tcPr>
            <w:tcW w:w="1440"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Contrôles</w:t>
            </w:r>
          </w:p>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Continus</w:t>
            </w:r>
          </w:p>
        </w:tc>
        <w:tc>
          <w:tcPr>
            <w:tcW w:w="1980"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EFCF</w:t>
            </w:r>
          </w:p>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Théorique</w:t>
            </w:r>
          </w:p>
        </w:tc>
        <w:tc>
          <w:tcPr>
            <w:tcW w:w="1980" w:type="dxa"/>
            <w:gridSpan w:val="4"/>
            <w:tcBorders>
              <w:top w:val="single" w:sz="4" w:space="0" w:color="auto"/>
              <w:left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EFCF</w:t>
            </w:r>
          </w:p>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bCs/>
                <w:i/>
                <w:lang w:eastAsia="fr-FR"/>
              </w:rPr>
              <w:t>Pratique</w:t>
            </w:r>
          </w:p>
        </w:tc>
        <w:tc>
          <w:tcPr>
            <w:tcW w:w="1620" w:type="dxa"/>
            <w:vMerge w:val="restart"/>
            <w:tcBorders>
              <w:top w:val="nil"/>
              <w:left w:val="single" w:sz="4" w:space="0" w:color="auto"/>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r>
      <w:tr w:rsidR="00CA6FD2" w:rsidRPr="00CA6FD2" w:rsidTr="0052675C">
        <w:trPr>
          <w:cantSplit/>
        </w:trPr>
        <w:tc>
          <w:tcPr>
            <w:tcW w:w="8100" w:type="dxa"/>
            <w:gridSpan w:val="12"/>
            <w:tcBorders>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620" w:type="dxa"/>
            <w:vMerge/>
            <w:tcBorders>
              <w:left w:val="single" w:sz="4" w:space="0" w:color="auto"/>
              <w:bottom w:val="single" w:sz="4" w:space="0" w:color="auto"/>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r>
      <w:tr w:rsidR="00CA6FD2" w:rsidRPr="00CA6FD2" w:rsidTr="0052675C">
        <w:trPr>
          <w:cantSplit/>
        </w:trPr>
        <w:tc>
          <w:tcPr>
            <w:tcW w:w="2700"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Moyenne des notes</w:t>
            </w:r>
          </w:p>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obtenue en 1</w:t>
            </w:r>
            <w:r w:rsidRPr="00CA6FD2">
              <w:rPr>
                <w:rFonts w:asciiTheme="minorHAnsi" w:eastAsia="Times New Roman" w:hAnsiTheme="minorHAnsi" w:cs="Times New Roman"/>
                <w:b/>
                <w:bCs/>
                <w:i/>
                <w:vertAlign w:val="superscript"/>
                <w:lang w:eastAsia="fr-FR"/>
              </w:rPr>
              <w:t>ère</w:t>
            </w:r>
            <w:r w:rsidRPr="00CA6FD2">
              <w:rPr>
                <w:rFonts w:asciiTheme="minorHAnsi" w:eastAsia="Times New Roman" w:hAnsiTheme="minorHAnsi" w:cs="Times New Roman"/>
                <w:b/>
                <w:bCs/>
                <w:i/>
                <w:lang w:eastAsia="fr-FR"/>
              </w:rPr>
              <w:t xml:space="preserve"> année</w:t>
            </w:r>
          </w:p>
        </w:tc>
        <w:tc>
          <w:tcPr>
            <w:tcW w:w="1440"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MCC 1</w:t>
            </w:r>
          </w:p>
        </w:tc>
        <w:tc>
          <w:tcPr>
            <w:tcW w:w="1980" w:type="dxa"/>
            <w:gridSpan w:val="3"/>
            <w:tcBorders>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MEFCFT 1</w:t>
            </w:r>
          </w:p>
        </w:tc>
        <w:tc>
          <w:tcPr>
            <w:tcW w:w="1980" w:type="dxa"/>
            <w:gridSpan w:val="4"/>
            <w:tcBorders>
              <w:left w:val="single" w:sz="4" w:space="0" w:color="auto"/>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MEFCFP 1</w:t>
            </w:r>
          </w:p>
        </w:tc>
        <w:tc>
          <w:tcPr>
            <w:tcW w:w="1620" w:type="dxa"/>
            <w:vMerge w:val="restart"/>
            <w:tcBorders>
              <w:left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Note Globale attribuée à la soutenance des travaux individuels de formation</w:t>
            </w:r>
          </w:p>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(NSTI)</w:t>
            </w:r>
          </w:p>
        </w:tc>
      </w:tr>
      <w:tr w:rsidR="00CA6FD2" w:rsidRPr="00CA6FD2" w:rsidTr="0052675C">
        <w:trPr>
          <w:cantSplit/>
        </w:trPr>
        <w:tc>
          <w:tcPr>
            <w:tcW w:w="8100" w:type="dxa"/>
            <w:gridSpan w:val="12"/>
            <w:tcBorders>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620" w:type="dxa"/>
            <w:vMerge/>
            <w:tcBorders>
              <w:left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r>
      <w:tr w:rsidR="00CA6FD2" w:rsidRPr="00CA6FD2" w:rsidTr="0052675C">
        <w:trPr>
          <w:cantSplit/>
        </w:trPr>
        <w:tc>
          <w:tcPr>
            <w:tcW w:w="2700" w:type="dxa"/>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Moyenne des notes</w:t>
            </w:r>
          </w:p>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obtenue en 2</w:t>
            </w:r>
            <w:r w:rsidRPr="00CA6FD2">
              <w:rPr>
                <w:rFonts w:asciiTheme="minorHAnsi" w:eastAsia="Times New Roman" w:hAnsiTheme="minorHAnsi" w:cs="Times New Roman"/>
                <w:b/>
                <w:bCs/>
                <w:i/>
                <w:vertAlign w:val="superscript"/>
                <w:lang w:eastAsia="fr-FR"/>
              </w:rPr>
              <w:t>ème</w:t>
            </w:r>
            <w:r w:rsidRPr="00CA6FD2">
              <w:rPr>
                <w:rFonts w:asciiTheme="minorHAnsi" w:eastAsia="Times New Roman" w:hAnsiTheme="minorHAnsi" w:cs="Times New Roman"/>
                <w:b/>
                <w:bCs/>
                <w:i/>
                <w:lang w:eastAsia="fr-FR"/>
              </w:rPr>
              <w:t xml:space="preserve"> année</w:t>
            </w:r>
          </w:p>
        </w:tc>
        <w:tc>
          <w:tcPr>
            <w:tcW w:w="1440" w:type="dxa"/>
            <w:gridSpan w:val="4"/>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MCC 2</w:t>
            </w:r>
          </w:p>
        </w:tc>
        <w:tc>
          <w:tcPr>
            <w:tcW w:w="1980" w:type="dxa"/>
            <w:gridSpan w:val="3"/>
            <w:tcBorders>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MEFCFT 2</w:t>
            </w:r>
          </w:p>
        </w:tc>
        <w:tc>
          <w:tcPr>
            <w:tcW w:w="1980" w:type="dxa"/>
            <w:gridSpan w:val="4"/>
            <w:tcBorders>
              <w:left w:val="single" w:sz="4" w:space="0" w:color="auto"/>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MEFCFP 2</w:t>
            </w:r>
          </w:p>
        </w:tc>
        <w:tc>
          <w:tcPr>
            <w:tcW w:w="1620" w:type="dxa"/>
            <w:vMerge/>
            <w:tcBorders>
              <w:left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r>
      <w:tr w:rsidR="00CA6FD2" w:rsidRPr="00CA6FD2" w:rsidTr="0052675C">
        <w:trPr>
          <w:cantSplit/>
        </w:trPr>
        <w:tc>
          <w:tcPr>
            <w:tcW w:w="8100" w:type="dxa"/>
            <w:gridSpan w:val="12"/>
            <w:tcBorders>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620" w:type="dxa"/>
            <w:vMerge/>
            <w:tcBorders>
              <w:left w:val="single" w:sz="4" w:space="0" w:color="auto"/>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r>
      <w:tr w:rsidR="00CA6FD2" w:rsidRPr="00CA6FD2" w:rsidTr="0052675C">
        <w:trPr>
          <w:cantSplit/>
          <w:trHeight w:val="263"/>
        </w:trPr>
        <w:tc>
          <w:tcPr>
            <w:tcW w:w="2700" w:type="dxa"/>
            <w:vMerge w:val="restart"/>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Moyenne des notes</w:t>
            </w:r>
          </w:p>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1</w:t>
            </w:r>
            <w:r w:rsidRPr="00CA6FD2">
              <w:rPr>
                <w:rFonts w:asciiTheme="minorHAnsi" w:eastAsia="Times New Roman" w:hAnsiTheme="minorHAnsi" w:cs="Times New Roman"/>
                <w:b/>
                <w:bCs/>
                <w:i/>
                <w:vertAlign w:val="superscript"/>
                <w:lang w:eastAsia="fr-FR"/>
              </w:rPr>
              <w:t>ère</w:t>
            </w:r>
            <w:r w:rsidRPr="00CA6FD2">
              <w:rPr>
                <w:rFonts w:asciiTheme="minorHAnsi" w:eastAsia="Times New Roman" w:hAnsiTheme="minorHAnsi" w:cs="Times New Roman"/>
                <w:b/>
                <w:bCs/>
                <w:i/>
                <w:lang w:eastAsia="fr-FR"/>
              </w:rPr>
              <w:t xml:space="preserve">  année  +  2</w:t>
            </w:r>
            <w:r w:rsidRPr="00CA6FD2">
              <w:rPr>
                <w:rFonts w:asciiTheme="minorHAnsi" w:eastAsia="Times New Roman" w:hAnsiTheme="minorHAnsi" w:cs="Times New Roman"/>
                <w:b/>
                <w:bCs/>
                <w:i/>
                <w:vertAlign w:val="superscript"/>
                <w:lang w:eastAsia="fr-FR"/>
              </w:rPr>
              <w:t>ème</w:t>
            </w:r>
            <w:r w:rsidRPr="00CA6FD2">
              <w:rPr>
                <w:rFonts w:asciiTheme="minorHAnsi" w:eastAsia="Times New Roman" w:hAnsiTheme="minorHAnsi" w:cs="Times New Roman"/>
                <w:b/>
                <w:bCs/>
                <w:i/>
                <w:lang w:eastAsia="fr-FR"/>
              </w:rPr>
              <w:t xml:space="preserve"> année</w:t>
            </w:r>
          </w:p>
        </w:tc>
        <w:tc>
          <w:tcPr>
            <w:tcW w:w="1440" w:type="dxa"/>
            <w:gridSpan w:val="4"/>
            <w:tcBorders>
              <w:bottom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MCC 1 + MCC 2</w:t>
            </w:r>
          </w:p>
        </w:tc>
        <w:tc>
          <w:tcPr>
            <w:tcW w:w="1980" w:type="dxa"/>
            <w:gridSpan w:val="3"/>
            <w:tcBorders>
              <w:bottom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MEFCFT 1 + MEFCFT 2</w:t>
            </w:r>
          </w:p>
        </w:tc>
        <w:tc>
          <w:tcPr>
            <w:tcW w:w="1980" w:type="dxa"/>
            <w:gridSpan w:val="4"/>
            <w:tcBorders>
              <w:bottom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MEFCFP 1 + MEFCFP 2</w:t>
            </w:r>
          </w:p>
        </w:tc>
        <w:tc>
          <w:tcPr>
            <w:tcW w:w="1620" w:type="dxa"/>
            <w:vMerge w:val="restart"/>
            <w:tcBorders>
              <w:left w:val="single" w:sz="4" w:space="0" w:color="auto"/>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r>
      <w:tr w:rsidR="00CA6FD2" w:rsidRPr="00CA6FD2" w:rsidTr="0052675C">
        <w:trPr>
          <w:cantSplit/>
          <w:trHeight w:val="262"/>
        </w:trPr>
        <w:tc>
          <w:tcPr>
            <w:tcW w:w="2700" w:type="dxa"/>
            <w:vMerge/>
            <w:tcBorders>
              <w:top w:val="nil"/>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80" w:type="dxa"/>
            <w:tcBorders>
              <w:top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080" w:type="dxa"/>
            <w:gridSpan w:val="2"/>
            <w:tcBorders>
              <w:top w:val="single" w:sz="4" w:space="0" w:color="auto"/>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2</w:t>
            </w:r>
          </w:p>
        </w:tc>
        <w:tc>
          <w:tcPr>
            <w:tcW w:w="180" w:type="dxa"/>
            <w:tcBorders>
              <w:top w:val="nil"/>
              <w:left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80" w:type="dxa"/>
            <w:tcBorders>
              <w:top w:val="nil"/>
              <w:left w:val="single" w:sz="4" w:space="0" w:color="auto"/>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620" w:type="dxa"/>
            <w:tcBorders>
              <w:top w:val="single" w:sz="4" w:space="0" w:color="auto"/>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2</w:t>
            </w:r>
          </w:p>
        </w:tc>
        <w:tc>
          <w:tcPr>
            <w:tcW w:w="180" w:type="dxa"/>
            <w:tcBorders>
              <w:top w:val="nil"/>
              <w:left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80" w:type="dxa"/>
            <w:tcBorders>
              <w:top w:val="nil"/>
              <w:left w:val="single" w:sz="4" w:space="0" w:color="auto"/>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620" w:type="dxa"/>
            <w:gridSpan w:val="2"/>
            <w:tcBorders>
              <w:top w:val="single" w:sz="4" w:space="0" w:color="auto"/>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2</w:t>
            </w:r>
          </w:p>
        </w:tc>
        <w:tc>
          <w:tcPr>
            <w:tcW w:w="180" w:type="dxa"/>
            <w:tcBorders>
              <w:top w:val="nil"/>
              <w:left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620" w:type="dxa"/>
            <w:vMerge/>
            <w:tcBorders>
              <w:left w:val="single" w:sz="4" w:space="0" w:color="auto"/>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r>
      <w:tr w:rsidR="00CA6FD2" w:rsidRPr="00CA6FD2" w:rsidTr="0052675C">
        <w:trPr>
          <w:cantSplit/>
        </w:trPr>
        <w:tc>
          <w:tcPr>
            <w:tcW w:w="2700" w:type="dxa"/>
            <w:vMerge/>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440" w:type="dxa"/>
            <w:gridSpan w:val="4"/>
            <w:tcBorders>
              <w:bottom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w:t>
            </w:r>
          </w:p>
        </w:tc>
        <w:tc>
          <w:tcPr>
            <w:tcW w:w="1980" w:type="dxa"/>
            <w:gridSpan w:val="3"/>
            <w:tcBorders>
              <w:bottom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w:t>
            </w:r>
          </w:p>
        </w:tc>
        <w:tc>
          <w:tcPr>
            <w:tcW w:w="1980" w:type="dxa"/>
            <w:gridSpan w:val="4"/>
            <w:tcBorders>
              <w:bottom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w:t>
            </w:r>
          </w:p>
        </w:tc>
        <w:tc>
          <w:tcPr>
            <w:tcW w:w="1620" w:type="dxa"/>
            <w:vMerge/>
            <w:tcBorders>
              <w:left w:val="single" w:sz="4" w:space="0" w:color="auto"/>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r>
      <w:tr w:rsidR="00CA6FD2" w:rsidRPr="00CA6FD2" w:rsidTr="0052675C">
        <w:trPr>
          <w:cantSplit/>
        </w:trPr>
        <w:tc>
          <w:tcPr>
            <w:tcW w:w="2700" w:type="dxa"/>
            <w:vMerge/>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c>
          <w:tcPr>
            <w:tcW w:w="1440" w:type="dxa"/>
            <w:gridSpan w:val="4"/>
            <w:tcBorders>
              <w:top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MCC</w:t>
            </w:r>
          </w:p>
        </w:tc>
        <w:tc>
          <w:tcPr>
            <w:tcW w:w="1980" w:type="dxa"/>
            <w:gridSpan w:val="3"/>
            <w:tcBorders>
              <w:top w:val="nil"/>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MEFCFT</w:t>
            </w:r>
          </w:p>
        </w:tc>
        <w:tc>
          <w:tcPr>
            <w:tcW w:w="1980" w:type="dxa"/>
            <w:gridSpan w:val="4"/>
            <w:tcBorders>
              <w:top w:val="nil"/>
              <w:left w:val="single" w:sz="4" w:space="0" w:color="auto"/>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r w:rsidRPr="00CA6FD2">
              <w:rPr>
                <w:rFonts w:asciiTheme="minorHAnsi" w:eastAsia="Times New Roman" w:hAnsiTheme="minorHAnsi" w:cs="Times New Roman"/>
                <w:b/>
                <w:bCs/>
                <w:i/>
                <w:lang w:eastAsia="fr-FR"/>
              </w:rPr>
              <w:t>MEFCFP</w:t>
            </w:r>
          </w:p>
        </w:tc>
        <w:tc>
          <w:tcPr>
            <w:tcW w:w="1620" w:type="dxa"/>
            <w:tcBorders>
              <w:left w:val="single" w:sz="4" w:space="0" w:color="auto"/>
              <w:right w:val="single" w:sz="4" w:space="0" w:color="auto"/>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NSTI</w:t>
            </w:r>
          </w:p>
        </w:tc>
      </w:tr>
      <w:tr w:rsidR="00CA6FD2" w:rsidRPr="00CA6FD2" w:rsidTr="0052675C">
        <w:trPr>
          <w:cantSplit/>
        </w:trPr>
        <w:tc>
          <w:tcPr>
            <w:tcW w:w="9720" w:type="dxa"/>
            <w:gridSpan w:val="13"/>
            <w:tcBorders>
              <w:right w:val="single" w:sz="4" w:space="0" w:color="auto"/>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lang w:eastAsia="fr-FR"/>
              </w:rPr>
            </w:pPr>
          </w:p>
        </w:tc>
      </w:tr>
      <w:tr w:rsidR="00CA6FD2" w:rsidRPr="00CA6FD2" w:rsidTr="0052675C">
        <w:trPr>
          <w:cantSplit/>
          <w:trHeight w:val="425"/>
        </w:trPr>
        <w:tc>
          <w:tcPr>
            <w:tcW w:w="2700" w:type="dxa"/>
            <w:vMerge w:val="restart"/>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caps/>
                <w:lang w:eastAsia="fr-FR"/>
              </w:rPr>
            </w:pPr>
            <w:r w:rsidRPr="00CA6FD2">
              <w:rPr>
                <w:rFonts w:asciiTheme="minorHAnsi" w:eastAsia="Times New Roman" w:hAnsiTheme="minorHAnsi" w:cs="Times New Roman"/>
                <w:b/>
                <w:bCs/>
                <w:i/>
                <w:caps/>
                <w:lang w:eastAsia="fr-FR"/>
              </w:rPr>
              <w:t xml:space="preserve">Note finale </w:t>
            </w:r>
          </w:p>
        </w:tc>
        <w:tc>
          <w:tcPr>
            <w:tcW w:w="360" w:type="dxa"/>
            <w:gridSpan w:val="2"/>
            <w:tcBorders>
              <w:bottom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c>
          <w:tcPr>
            <w:tcW w:w="4320" w:type="dxa"/>
            <w:gridSpan w:val="7"/>
            <w:tcBorders>
              <w:left w:val="nil"/>
              <w:bottom w:val="single" w:sz="4" w:space="0" w:color="auto"/>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 xml:space="preserve">MCCx3 + </w:t>
            </w:r>
            <w:r w:rsidRPr="00CA6FD2">
              <w:rPr>
                <w:rFonts w:asciiTheme="minorHAnsi" w:eastAsia="Times New Roman" w:hAnsiTheme="minorHAnsi" w:cs="Times New Roman"/>
                <w:b/>
                <w:bCs/>
                <w:i/>
                <w:lang w:eastAsia="fr-FR"/>
              </w:rPr>
              <w:t>MEFCFTx2 + MEFCFPx3 + NSTIx2</w:t>
            </w:r>
          </w:p>
        </w:tc>
        <w:tc>
          <w:tcPr>
            <w:tcW w:w="540" w:type="dxa"/>
            <w:vMerge w:val="restart"/>
            <w:tcBorders>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w:t>
            </w:r>
          </w:p>
        </w:tc>
        <w:tc>
          <w:tcPr>
            <w:tcW w:w="1800" w:type="dxa"/>
            <w:gridSpan w:val="2"/>
            <w:vMerge w:val="restart"/>
            <w:tcBorders>
              <w:left w:val="nil"/>
            </w:tcBorders>
            <w:vAlign w:val="center"/>
          </w:tcPr>
          <w:p w:rsidR="00CA6FD2" w:rsidRPr="00CA6FD2" w:rsidRDefault="00CA6FD2" w:rsidP="00CA6FD2">
            <w:pPr>
              <w:spacing w:before="0" w:after="0" w:line="240" w:lineRule="auto"/>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NF*</w:t>
            </w:r>
          </w:p>
        </w:tc>
      </w:tr>
      <w:tr w:rsidR="00CA6FD2" w:rsidRPr="00CA6FD2" w:rsidTr="0052675C">
        <w:trPr>
          <w:cantSplit/>
          <w:trHeight w:val="192"/>
        </w:trPr>
        <w:tc>
          <w:tcPr>
            <w:tcW w:w="2700" w:type="dxa"/>
            <w:vMerge/>
            <w:tcBorders>
              <w:top w:val="nil"/>
            </w:tcBorders>
            <w:shd w:val="clear" w:color="auto" w:fill="D9D9D9"/>
            <w:vAlign w:val="center"/>
          </w:tcPr>
          <w:p w:rsidR="00CA6FD2" w:rsidRPr="00CA6FD2" w:rsidRDefault="00CA6FD2" w:rsidP="00CA6FD2">
            <w:pPr>
              <w:spacing w:before="0" w:after="0" w:line="240" w:lineRule="auto"/>
              <w:jc w:val="center"/>
              <w:rPr>
                <w:rFonts w:asciiTheme="minorHAnsi" w:eastAsia="Times New Roman" w:hAnsiTheme="minorHAnsi" w:cs="Times New Roman"/>
                <w:b/>
                <w:bCs/>
                <w:i/>
                <w:caps/>
                <w:lang w:eastAsia="fr-FR"/>
              </w:rPr>
            </w:pPr>
          </w:p>
        </w:tc>
        <w:tc>
          <w:tcPr>
            <w:tcW w:w="360" w:type="dxa"/>
            <w:gridSpan w:val="2"/>
            <w:tcBorders>
              <w:top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c>
          <w:tcPr>
            <w:tcW w:w="4320" w:type="dxa"/>
            <w:gridSpan w:val="7"/>
            <w:tcBorders>
              <w:top w:val="nil"/>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r w:rsidRPr="00CA6FD2">
              <w:rPr>
                <w:rFonts w:asciiTheme="minorHAnsi" w:eastAsia="Times New Roman" w:hAnsiTheme="minorHAnsi" w:cs="Times New Roman"/>
                <w:b/>
                <w:i/>
                <w:lang w:eastAsia="fr-FR"/>
              </w:rPr>
              <w:t>10</w:t>
            </w:r>
          </w:p>
        </w:tc>
        <w:tc>
          <w:tcPr>
            <w:tcW w:w="540" w:type="dxa"/>
            <w:vMerge/>
            <w:tcBorders>
              <w:left w:val="nil"/>
              <w:righ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c>
          <w:tcPr>
            <w:tcW w:w="1800" w:type="dxa"/>
            <w:gridSpan w:val="2"/>
            <w:vMerge/>
            <w:tcBorders>
              <w:left w:val="nil"/>
            </w:tcBorders>
            <w:vAlign w:val="center"/>
          </w:tcPr>
          <w:p w:rsidR="00CA6FD2" w:rsidRPr="00CA6FD2" w:rsidRDefault="00CA6FD2" w:rsidP="00CA6FD2">
            <w:pPr>
              <w:spacing w:before="0" w:after="0" w:line="240" w:lineRule="auto"/>
              <w:jc w:val="center"/>
              <w:rPr>
                <w:rFonts w:asciiTheme="minorHAnsi" w:eastAsia="Times New Roman" w:hAnsiTheme="minorHAnsi" w:cs="Times New Roman"/>
                <w:b/>
                <w:i/>
                <w:lang w:eastAsia="fr-FR"/>
              </w:rPr>
            </w:pPr>
          </w:p>
        </w:tc>
      </w:tr>
    </w:tbl>
    <w:p w:rsidR="00CA6FD2" w:rsidRPr="00CA6FD2" w:rsidRDefault="00CA6FD2" w:rsidP="00CA6FD2">
      <w:pPr>
        <w:spacing w:before="0" w:after="0" w:line="240" w:lineRule="auto"/>
        <w:jc w:val="both"/>
        <w:rPr>
          <w:rFonts w:asciiTheme="minorHAnsi" w:eastAsia="Times New Roman" w:hAnsiTheme="minorHAnsi" w:cs="Times New Roman"/>
          <w:b/>
          <w:i/>
          <w:iCs/>
          <w:lang w:eastAsia="fr-FR"/>
        </w:rPr>
      </w:pPr>
      <w:r w:rsidRPr="00CA6FD2">
        <w:rPr>
          <w:rFonts w:asciiTheme="minorHAnsi" w:eastAsia="Times New Roman" w:hAnsiTheme="minorHAnsi" w:cs="Times New Roman"/>
          <w:b/>
          <w:i/>
          <w:lang w:eastAsia="fr-FR"/>
        </w:rPr>
        <w:t xml:space="preserve">* </w:t>
      </w:r>
      <w:r w:rsidRPr="00CA6FD2">
        <w:rPr>
          <w:rFonts w:asciiTheme="minorHAnsi" w:eastAsia="Times New Roman" w:hAnsiTheme="minorHAnsi" w:cs="Times New Roman"/>
          <w:b/>
          <w:i/>
          <w:iCs/>
          <w:lang w:eastAsia="fr-FR"/>
        </w:rPr>
        <w:t>NF ≥ 10/20, le stagiaire est déclaré admis et donc le diplôme / certificat lui sera attribué en tant que lauréat de l’établissement,</w:t>
      </w:r>
    </w:p>
    <w:p w:rsidR="00CA6FD2" w:rsidRPr="00CA6FD2" w:rsidRDefault="00CA6FD2" w:rsidP="00CA6FD2">
      <w:pPr>
        <w:spacing w:before="0" w:after="0" w:line="240" w:lineRule="auto"/>
        <w:jc w:val="both"/>
        <w:rPr>
          <w:rFonts w:asciiTheme="minorHAnsi" w:eastAsia="Times New Roman" w:hAnsiTheme="minorHAnsi" w:cs="Times New Roman"/>
          <w:b/>
          <w:i/>
          <w:iCs/>
          <w:lang w:eastAsia="fr-FR"/>
        </w:rPr>
      </w:pPr>
      <w:r w:rsidRPr="00CA6FD2">
        <w:rPr>
          <w:rFonts w:asciiTheme="minorHAnsi" w:eastAsia="Times New Roman" w:hAnsiTheme="minorHAnsi" w:cs="Times New Roman"/>
          <w:b/>
          <w:i/>
          <w:lang w:eastAsia="fr-FR"/>
        </w:rPr>
        <w:t>*</w:t>
      </w:r>
      <w:r w:rsidRPr="00CA6FD2">
        <w:rPr>
          <w:rFonts w:asciiTheme="minorHAnsi" w:eastAsia="Times New Roman" w:hAnsiTheme="minorHAnsi" w:cs="Times New Roman"/>
          <w:b/>
          <w:i/>
          <w:iCs/>
          <w:lang w:eastAsia="fr-FR"/>
        </w:rPr>
        <w:t xml:space="preserve"> NF &lt; 10/20, le stagiaire peut bénéficier d’un seul redoublement pour la durée de la filière de formation.</w:t>
      </w:r>
    </w:p>
    <w:p w:rsidR="00CA6FD2" w:rsidRPr="00CA6FD2" w:rsidRDefault="00CA6FD2" w:rsidP="00CA6FD2">
      <w:pPr>
        <w:spacing w:before="0" w:after="0" w:line="240" w:lineRule="auto"/>
        <w:jc w:val="both"/>
        <w:rPr>
          <w:rFonts w:asciiTheme="minorHAnsi" w:eastAsia="Times New Roman" w:hAnsiTheme="minorHAnsi" w:cs="Times New Roman"/>
          <w:bCs/>
          <w:lang w:eastAsia="fr-FR"/>
        </w:rPr>
      </w:pPr>
    </w:p>
    <w:p w:rsidR="00CA6FD2" w:rsidRPr="00CA6FD2" w:rsidRDefault="00CA6FD2" w:rsidP="00CA6FD2">
      <w:pPr>
        <w:spacing w:before="0" w:after="0" w:line="240" w:lineRule="auto"/>
        <w:jc w:val="both"/>
        <w:rPr>
          <w:rFonts w:asciiTheme="minorHAnsi" w:eastAsia="Times New Roman" w:hAnsiTheme="minorHAnsi" w:cs="Times New Roman"/>
          <w:bCs/>
          <w:lang w:eastAsia="fr-FR"/>
        </w:rPr>
      </w:pPr>
    </w:p>
    <w:p w:rsidR="00CA6FD2" w:rsidRPr="00CA6FD2" w:rsidRDefault="00CA6FD2" w:rsidP="00CA6FD2">
      <w:pPr>
        <w:spacing w:before="0" w:after="0" w:line="240" w:lineRule="auto"/>
        <w:jc w:val="both"/>
        <w:rPr>
          <w:rFonts w:asciiTheme="minorHAnsi" w:eastAsia="Times New Roman" w:hAnsiTheme="minorHAnsi" w:cs="Times New Roman"/>
          <w:bCs/>
          <w:lang w:eastAsia="fr-FR"/>
        </w:rPr>
      </w:pPr>
    </w:p>
    <w:p w:rsidR="00CA6FD2" w:rsidRPr="00CA6FD2" w:rsidRDefault="00CA6FD2" w:rsidP="00CA6FD2">
      <w:pPr>
        <w:spacing w:before="0" w:after="0" w:line="240" w:lineRule="auto"/>
        <w:jc w:val="both"/>
        <w:rPr>
          <w:rFonts w:asciiTheme="minorHAnsi" w:eastAsia="Times New Roman" w:hAnsiTheme="minorHAnsi" w:cs="Times New Roman"/>
          <w:bCs/>
          <w:lang w:eastAsia="fr-FR"/>
        </w:rPr>
      </w:pPr>
    </w:p>
    <w:p w:rsidR="00CA6FD2" w:rsidRPr="00CA6FD2" w:rsidRDefault="00CA6FD2" w:rsidP="00CA6FD2">
      <w:pPr>
        <w:spacing w:before="0" w:after="0" w:line="240" w:lineRule="auto"/>
        <w:jc w:val="both"/>
        <w:rPr>
          <w:rFonts w:asciiTheme="minorHAnsi" w:eastAsia="Times New Roman" w:hAnsiTheme="minorHAnsi" w:cs="Times New Roman"/>
          <w:bCs/>
          <w:lang w:eastAsia="fr-FR"/>
        </w:rPr>
      </w:pPr>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tblPr>
      <w:tblGrid>
        <w:gridCol w:w="8100"/>
      </w:tblGrid>
      <w:tr w:rsidR="00CA6FD2" w:rsidRPr="00CA6FD2" w:rsidTr="0052675C">
        <w:trPr>
          <w:trHeight w:val="1074"/>
          <w:jc w:val="center"/>
        </w:trPr>
        <w:tc>
          <w:tcPr>
            <w:tcW w:w="8100" w:type="dxa"/>
            <w:shd w:val="clear" w:color="auto" w:fill="D9D9D9"/>
            <w:vAlign w:val="center"/>
          </w:tcPr>
          <w:p w:rsidR="00CA6FD2" w:rsidRPr="00CA6FD2" w:rsidRDefault="00CA6FD2" w:rsidP="00CA6FD2">
            <w:pPr>
              <w:spacing w:after="120" w:line="240" w:lineRule="auto"/>
              <w:jc w:val="center"/>
              <w:rPr>
                <w:rFonts w:asciiTheme="minorHAnsi" w:eastAsia="Times New Roman" w:hAnsiTheme="minorHAnsi" w:cs="Times New Roman"/>
                <w:b/>
                <w:bCs/>
                <w:i/>
                <w:iCs/>
                <w:lang w:eastAsia="fr-FR"/>
              </w:rPr>
            </w:pPr>
            <w:r w:rsidRPr="00CA6FD2">
              <w:rPr>
                <w:rFonts w:asciiTheme="minorHAnsi" w:eastAsia="Times New Roman" w:hAnsiTheme="minorHAnsi" w:cs="Times New Roman"/>
                <w:b/>
                <w:bCs/>
                <w:i/>
                <w:iCs/>
                <w:lang w:eastAsia="fr-FR"/>
              </w:rPr>
              <w:t xml:space="preserve">Le présent règlement avant d’être affiché dans l’établissement doit être lu et signé par l’ensemble des membres du jury d’examens après que l’ensemble des unités de formation et leurs coefficients ont été saisis </w:t>
            </w:r>
          </w:p>
        </w:tc>
      </w:tr>
    </w:tbl>
    <w:p w:rsidR="00CA6FD2" w:rsidRPr="00CA6FD2" w:rsidRDefault="00CA6FD2" w:rsidP="00CA6FD2">
      <w:pPr>
        <w:spacing w:before="0" w:after="0" w:line="240" w:lineRule="auto"/>
        <w:jc w:val="both"/>
        <w:rPr>
          <w:rFonts w:asciiTheme="minorHAnsi" w:eastAsia="Times New Roman" w:hAnsiTheme="minorHAnsi" w:cs="Times New Roman"/>
          <w:bCs/>
          <w:lang w:eastAsia="fr-FR"/>
        </w:rPr>
      </w:pPr>
    </w:p>
    <w:p w:rsidR="00CA6FD2" w:rsidRPr="00CA6FD2" w:rsidRDefault="00CA6FD2" w:rsidP="00CA6FD2">
      <w:pPr>
        <w:spacing w:before="0" w:after="0" w:line="240" w:lineRule="auto"/>
        <w:rPr>
          <w:rFonts w:asciiTheme="minorHAnsi" w:eastAsia="Times New Roman" w:hAnsiTheme="minorHAnsi" w:cs="Times New Roman"/>
          <w:lang w:eastAsia="fr-FR"/>
        </w:rPr>
      </w:pPr>
    </w:p>
    <w:p w:rsidR="00CA6FD2" w:rsidRPr="00CA6FD2" w:rsidRDefault="00CA6FD2" w:rsidP="00CA6FD2">
      <w:pPr>
        <w:spacing w:before="0" w:after="0" w:line="240" w:lineRule="auto"/>
        <w:rPr>
          <w:rFonts w:asciiTheme="minorHAnsi" w:eastAsia="Times New Roman" w:hAnsiTheme="minorHAnsi" w:cs="Times New Roman"/>
          <w:lang w:eastAsia="fr-FR"/>
        </w:rPr>
        <w:sectPr w:rsidR="00CA6FD2" w:rsidRPr="00CA6FD2" w:rsidSect="00F73DA2">
          <w:type w:val="continuous"/>
          <w:pgSz w:w="11906" w:h="16838"/>
          <w:pgMar w:top="1418" w:right="1134" w:bottom="1418" w:left="1701" w:header="709" w:footer="510" w:gutter="0"/>
          <w:cols w:sep="1" w:space="709"/>
          <w:docGrid w:linePitch="360"/>
        </w:sectPr>
      </w:pPr>
    </w:p>
    <w:p w:rsidR="00682BF7" w:rsidRPr="00CA6FD2" w:rsidRDefault="00682BF7" w:rsidP="00EF5CA1">
      <w:pPr>
        <w:spacing w:before="0" w:after="0" w:line="240" w:lineRule="auto"/>
        <w:rPr>
          <w:rFonts w:asciiTheme="minorHAnsi" w:hAnsiTheme="minorHAnsi"/>
        </w:rPr>
      </w:pPr>
    </w:p>
    <w:sectPr w:rsidR="00682BF7" w:rsidRPr="00CA6FD2" w:rsidSect="00F73DA2">
      <w:headerReference w:type="default" r:id="rId9"/>
      <w:footerReference w:type="default" r:id="rId10"/>
      <w:type w:val="continuous"/>
      <w:pgSz w:w="11906" w:h="16838" w:code="9"/>
      <w:pgMar w:top="1418" w:right="1134" w:bottom="1418"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78AE" w:rsidRDefault="00C878AE" w:rsidP="00CA6FD2">
      <w:pPr>
        <w:spacing w:before="0" w:after="0" w:line="240" w:lineRule="auto"/>
      </w:pPr>
      <w:r>
        <w:separator/>
      </w:r>
    </w:p>
  </w:endnote>
  <w:endnote w:type="continuationSeparator" w:id="0">
    <w:p w:rsidR="00C878AE" w:rsidRDefault="00C878AE" w:rsidP="00CA6FD2">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micSansMS">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Narrow">
    <w:panose1 w:val="00000000000000000000"/>
    <w:charset w:val="00"/>
    <w:family w:val="swiss"/>
    <w:notTrueType/>
    <w:pitch w:val="default"/>
    <w:sig w:usb0="00000003" w:usb1="00000000" w:usb2="00000000" w:usb3="00000000" w:csb0="00000001" w:csb1="00000000"/>
  </w:font>
  <w:font w:name="ArialNarrow,Bold">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D2" w:rsidRDefault="00CA6FD2">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7</w:t>
    </w:r>
    <w:r>
      <w:rPr>
        <w:rStyle w:val="Numrodepage"/>
      </w:rPr>
      <w:fldChar w:fldCharType="end"/>
    </w:r>
  </w:p>
  <w:p w:rsidR="00CA6FD2" w:rsidRDefault="00CA6FD2">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25407"/>
      <w:docPartObj>
        <w:docPartGallery w:val="Page Numbers (Bottom of Page)"/>
        <w:docPartUnique/>
      </w:docPartObj>
    </w:sdtPr>
    <w:sdtContent>
      <w:p w:rsidR="002A6634" w:rsidRPr="00EF5CA1" w:rsidRDefault="00EF5CA1" w:rsidP="00EF5CA1">
        <w:pPr>
          <w:pStyle w:val="Pieddepage"/>
          <w:jc w:val="center"/>
        </w:pPr>
        <w:fldSimple w:instr=" PAGE   \* MERGEFORMAT ">
          <w:r>
            <w:rPr>
              <w:noProof/>
            </w:rPr>
            <w:t>16</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78AE" w:rsidRDefault="00C878AE" w:rsidP="00CA6FD2">
      <w:pPr>
        <w:spacing w:before="0" w:after="0" w:line="240" w:lineRule="auto"/>
      </w:pPr>
      <w:r>
        <w:separator/>
      </w:r>
    </w:p>
  </w:footnote>
  <w:footnote w:type="continuationSeparator" w:id="0">
    <w:p w:rsidR="00C878AE" w:rsidRDefault="00C878AE" w:rsidP="00CA6FD2">
      <w:pPr>
        <w:spacing w:before="0" w:after="0" w:line="240" w:lineRule="auto"/>
      </w:pPr>
      <w:r>
        <w:continuationSeparator/>
      </w:r>
    </w:p>
  </w:footnote>
  <w:footnote w:id="1">
    <w:p w:rsidR="00CA6FD2" w:rsidRDefault="00CA6FD2" w:rsidP="00CA6FD2">
      <w:pPr>
        <w:pStyle w:val="Notedebasdepage"/>
        <w:rPr>
          <w:i/>
          <w:iCs/>
          <w:sz w:val="16"/>
          <w:szCs w:val="16"/>
        </w:rPr>
      </w:pPr>
      <w:r>
        <w:rPr>
          <w:rStyle w:val="Appelnotedebasdep"/>
        </w:rPr>
        <w:footnoteRef/>
      </w:r>
      <w:r>
        <w:t xml:space="preserve"> </w:t>
      </w:r>
      <w:r>
        <w:rPr>
          <w:i/>
          <w:iCs/>
          <w:sz w:val="16"/>
          <w:szCs w:val="16"/>
        </w:rPr>
        <w:t xml:space="preserve">Arrêté Ministériel  n°73.02 du 01 </w:t>
      </w:r>
      <w:proofErr w:type="spellStart"/>
      <w:r>
        <w:rPr>
          <w:i/>
          <w:iCs/>
          <w:sz w:val="16"/>
          <w:szCs w:val="16"/>
        </w:rPr>
        <w:t>Kaâda</w:t>
      </w:r>
      <w:proofErr w:type="spellEnd"/>
      <w:r>
        <w:rPr>
          <w:i/>
          <w:iCs/>
          <w:sz w:val="16"/>
          <w:szCs w:val="16"/>
        </w:rPr>
        <w:t xml:space="preserve"> 1422 (16 janvier 2002) relatif à l’accréditation des EFPP</w:t>
      </w:r>
    </w:p>
  </w:footnote>
  <w:footnote w:id="2">
    <w:p w:rsidR="00CA6FD2" w:rsidRDefault="00CA6FD2" w:rsidP="00CA6FD2">
      <w:pPr>
        <w:pStyle w:val="Notedebasdepage"/>
        <w:rPr>
          <w:i/>
          <w:iCs/>
          <w:sz w:val="16"/>
          <w:szCs w:val="16"/>
        </w:rPr>
      </w:pPr>
      <w:r>
        <w:rPr>
          <w:rStyle w:val="Appelnotedebasdep"/>
        </w:rPr>
        <w:footnoteRef/>
      </w:r>
      <w:r>
        <w:t xml:space="preserve"> </w:t>
      </w:r>
      <w:r>
        <w:rPr>
          <w:i/>
          <w:iCs/>
          <w:sz w:val="16"/>
          <w:szCs w:val="16"/>
        </w:rPr>
        <w:t>Les titres reconnus par l’Etat, délivrés par les établissements accrédités à leurs lauréats sont de quatre niveaux :</w:t>
      </w:r>
    </w:p>
    <w:p w:rsidR="00CA6FD2" w:rsidRDefault="00CA6FD2"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certificat de spécialisation pour les filières de niveau spécialisation,</w:t>
      </w:r>
    </w:p>
    <w:p w:rsidR="00CA6FD2" w:rsidRDefault="00CA6FD2"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certificat de qualification professionnelle pour les filières de niveau qualification,</w:t>
      </w:r>
    </w:p>
    <w:p w:rsidR="00CA6FD2" w:rsidRDefault="00CA6FD2"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diplôme de technicien pour les filières de niveau technicien,</w:t>
      </w:r>
    </w:p>
    <w:p w:rsidR="00CA6FD2" w:rsidRDefault="00CA6FD2" w:rsidP="00CA6FD2">
      <w:pPr>
        <w:pStyle w:val="Notedebasdepage"/>
        <w:numPr>
          <w:ilvl w:val="0"/>
          <w:numId w:val="16"/>
        </w:numPr>
        <w:tabs>
          <w:tab w:val="clear" w:pos="720"/>
          <w:tab w:val="num" w:pos="360"/>
        </w:tabs>
        <w:spacing w:before="0"/>
        <w:ind w:left="360"/>
        <w:jc w:val="both"/>
        <w:rPr>
          <w:i/>
          <w:iCs/>
          <w:sz w:val="16"/>
          <w:szCs w:val="16"/>
        </w:rPr>
      </w:pPr>
      <w:r>
        <w:rPr>
          <w:i/>
          <w:iCs/>
          <w:sz w:val="16"/>
          <w:szCs w:val="16"/>
        </w:rPr>
        <w:t>le diplôme de technicien spécialisé pour les filières de niveau technicien spécialisé.</w:t>
      </w:r>
    </w:p>
  </w:footnote>
  <w:footnote w:id="3">
    <w:p w:rsidR="00CA6FD2" w:rsidRPr="00983F95" w:rsidRDefault="00CA6FD2" w:rsidP="00CA6FD2">
      <w:pPr>
        <w:pStyle w:val="Notedebasdepage"/>
        <w:rPr>
          <w:i/>
          <w:iCs/>
          <w:sz w:val="16"/>
          <w:szCs w:val="16"/>
        </w:rPr>
      </w:pPr>
      <w:r w:rsidRPr="00983F95">
        <w:rPr>
          <w:b/>
          <w:bCs/>
          <w:i/>
          <w:iCs/>
          <w:sz w:val="16"/>
          <w:szCs w:val="16"/>
        </w:rPr>
        <w:footnoteRef/>
      </w:r>
      <w:r w:rsidRPr="00983F95">
        <w:rPr>
          <w:b/>
          <w:bCs/>
          <w:i/>
          <w:iCs/>
          <w:sz w:val="16"/>
          <w:szCs w:val="16"/>
        </w:rPr>
        <w:t xml:space="preserve"> </w:t>
      </w:r>
      <w:r w:rsidRPr="00983F95">
        <w:rPr>
          <w:i/>
          <w:iCs/>
          <w:sz w:val="16"/>
          <w:szCs w:val="16"/>
        </w:rPr>
        <w:t xml:space="preserve">Voir modalités d’attribution des notes du stage en entreprises </w:t>
      </w:r>
    </w:p>
    <w:p w:rsidR="00CA6FD2" w:rsidRPr="00983F95" w:rsidRDefault="00CA6FD2" w:rsidP="00CA6FD2">
      <w:pPr>
        <w:pStyle w:val="Notedebasdepage"/>
        <w:rPr>
          <w:i/>
          <w:iCs/>
          <w:sz w:val="16"/>
          <w:szCs w:val="16"/>
        </w:rPr>
      </w:pPr>
      <w:proofErr w:type="gramStart"/>
      <w:r w:rsidRPr="00983F95">
        <w:rPr>
          <w:i/>
          <w:iCs/>
          <w:sz w:val="16"/>
          <w:szCs w:val="16"/>
        </w:rPr>
        <w:t>page</w:t>
      </w:r>
      <w:proofErr w:type="gramEnd"/>
      <w:r w:rsidRPr="00983F95">
        <w:rPr>
          <w:i/>
          <w:iCs/>
          <w:sz w:val="16"/>
          <w:szCs w:val="16"/>
        </w:rPr>
        <w:t xml:space="preserve"> suivante renvoi n°9.</w:t>
      </w:r>
    </w:p>
  </w:footnote>
  <w:footnote w:id="4">
    <w:p w:rsidR="00CA6FD2" w:rsidRPr="00983F95" w:rsidRDefault="00CA6FD2" w:rsidP="00CA6FD2">
      <w:pPr>
        <w:pStyle w:val="Notedebasdepage"/>
        <w:rPr>
          <w:i/>
          <w:iCs/>
          <w:sz w:val="16"/>
          <w:szCs w:val="16"/>
        </w:rPr>
      </w:pPr>
      <w:r w:rsidRPr="00983F95">
        <w:rPr>
          <w:i/>
          <w:iCs/>
          <w:sz w:val="16"/>
          <w:szCs w:val="16"/>
        </w:rPr>
        <w:footnoteRef/>
      </w:r>
      <w:r w:rsidRPr="00983F95">
        <w:rPr>
          <w:i/>
          <w:iCs/>
          <w:sz w:val="16"/>
          <w:szCs w:val="16"/>
        </w:rPr>
        <w:t xml:space="preserve"> Les soutenances des résultats des travaux individuels sont supervisées par le jury d’examens. Cependant, s’il ne peut faire face devant l’importance du nombre des soutenances, le jury d’examens peut se faire aider par deux types de jurys de soutenance : </w:t>
      </w:r>
    </w:p>
    <w:p w:rsidR="00CA6FD2" w:rsidRPr="00983F95" w:rsidRDefault="00CA6FD2" w:rsidP="00CA6FD2">
      <w:pPr>
        <w:pStyle w:val="Notedebasdepage"/>
        <w:numPr>
          <w:ilvl w:val="1"/>
          <w:numId w:val="16"/>
        </w:numPr>
        <w:tabs>
          <w:tab w:val="clear" w:pos="1440"/>
        </w:tabs>
        <w:spacing w:before="0"/>
        <w:ind w:left="360" w:hanging="180"/>
        <w:jc w:val="both"/>
        <w:rPr>
          <w:i/>
          <w:iCs/>
          <w:sz w:val="16"/>
          <w:szCs w:val="16"/>
        </w:rPr>
      </w:pPr>
      <w:r w:rsidRPr="00983F95">
        <w:rPr>
          <w:i/>
          <w:iCs/>
          <w:sz w:val="16"/>
          <w:szCs w:val="16"/>
        </w:rPr>
        <w:t>jurys de soutenance présidés par un des membres du jury d’examens ; par exemple un jury de cinq membres peut constituer jusqu’à cinq jurys de soutenance,</w:t>
      </w:r>
    </w:p>
    <w:p w:rsidR="00CA6FD2" w:rsidRPr="00983F95" w:rsidRDefault="00CA6FD2" w:rsidP="00CA6FD2">
      <w:pPr>
        <w:pStyle w:val="Notedebasdepage"/>
        <w:numPr>
          <w:ilvl w:val="1"/>
          <w:numId w:val="16"/>
        </w:numPr>
        <w:tabs>
          <w:tab w:val="clear" w:pos="1440"/>
        </w:tabs>
        <w:spacing w:before="0"/>
        <w:ind w:left="360" w:hanging="180"/>
        <w:jc w:val="both"/>
        <w:rPr>
          <w:i/>
          <w:iCs/>
          <w:sz w:val="16"/>
          <w:szCs w:val="16"/>
        </w:rPr>
      </w:pPr>
      <w:r w:rsidRPr="00983F95">
        <w:rPr>
          <w:i/>
          <w:iCs/>
          <w:sz w:val="16"/>
          <w:szCs w:val="16"/>
        </w:rPr>
        <w:t>si cela s’avère insuffisant, d’autres jurys de soutenance peuvent être proposés au jury d’examens pour étude et validation.</w:t>
      </w:r>
    </w:p>
    <w:p w:rsidR="00CA6FD2" w:rsidRPr="00983F95" w:rsidRDefault="00CA6FD2" w:rsidP="00CA6FD2">
      <w:pPr>
        <w:pStyle w:val="Notedebasdepage"/>
        <w:rPr>
          <w:i/>
          <w:iCs/>
          <w:sz w:val="16"/>
          <w:szCs w:val="16"/>
        </w:rPr>
      </w:pPr>
      <w:r w:rsidRPr="00983F95">
        <w:rPr>
          <w:i/>
          <w:iCs/>
          <w:sz w:val="16"/>
          <w:szCs w:val="16"/>
        </w:rPr>
        <w:t>Dans les deux cas la présence de professionnels est obligatoire.</w:t>
      </w:r>
    </w:p>
  </w:footnote>
  <w:footnote w:id="5">
    <w:p w:rsidR="00CA6FD2" w:rsidRDefault="00CA6FD2" w:rsidP="00CA6FD2">
      <w:pPr>
        <w:pStyle w:val="Notedebasdepage"/>
        <w:ind w:right="-1"/>
        <w:rPr>
          <w:i/>
          <w:iCs/>
          <w:sz w:val="14"/>
          <w:szCs w:val="14"/>
        </w:rPr>
      </w:pPr>
      <w:r>
        <w:rPr>
          <w:b/>
          <w:bCs/>
          <w:i/>
          <w:iCs/>
          <w:sz w:val="14"/>
          <w:szCs w:val="14"/>
        </w:rPr>
        <w:footnoteRef/>
      </w:r>
      <w:r>
        <w:rPr>
          <w:i/>
          <w:iCs/>
          <w:sz w:val="14"/>
          <w:szCs w:val="14"/>
        </w:rPr>
        <w:t xml:space="preserve"> C1.i et C2j : coefficient attribué à chaque unité de formation dispensée respectivement en 1</w:t>
      </w:r>
      <w:r>
        <w:rPr>
          <w:i/>
          <w:iCs/>
          <w:sz w:val="14"/>
          <w:szCs w:val="14"/>
          <w:vertAlign w:val="superscript"/>
        </w:rPr>
        <w:t>ère</w:t>
      </w:r>
      <w:r>
        <w:rPr>
          <w:i/>
          <w:iCs/>
          <w:sz w:val="14"/>
          <w:szCs w:val="14"/>
        </w:rPr>
        <w:t xml:space="preserve"> et 2</w:t>
      </w:r>
      <w:r>
        <w:rPr>
          <w:i/>
          <w:iCs/>
          <w:sz w:val="14"/>
          <w:szCs w:val="14"/>
          <w:vertAlign w:val="superscript"/>
        </w:rPr>
        <w:t>ème</w:t>
      </w:r>
      <w:r>
        <w:rPr>
          <w:i/>
          <w:iCs/>
          <w:sz w:val="14"/>
          <w:szCs w:val="14"/>
        </w:rPr>
        <w:t xml:space="preserve"> année .Ces coefficients doivent refléter l’importance des unités de formation dans la filière conformément aux normes de qualification des filières. Le total des coefficients doit être le même pour chaque année de formation.</w:t>
      </w:r>
    </w:p>
  </w:footnote>
  <w:footnote w:id="6">
    <w:p w:rsidR="00CA6FD2" w:rsidRDefault="00CA6FD2" w:rsidP="00CA6FD2">
      <w:pPr>
        <w:pStyle w:val="Notedebasdepage"/>
        <w:ind w:right="-1"/>
        <w:rPr>
          <w:i/>
          <w:iCs/>
          <w:sz w:val="14"/>
          <w:szCs w:val="14"/>
        </w:rPr>
      </w:pPr>
      <w:r>
        <w:rPr>
          <w:b/>
          <w:bCs/>
          <w:i/>
          <w:iCs/>
          <w:sz w:val="14"/>
          <w:szCs w:val="14"/>
        </w:rPr>
        <w:footnoteRef/>
      </w:r>
      <w:r>
        <w:rPr>
          <w:i/>
          <w:iCs/>
          <w:sz w:val="14"/>
          <w:szCs w:val="14"/>
        </w:rPr>
        <w:t xml:space="preserve"> Les contrôles continus sont effectués, sur les aspects théoriques et pratiques, au cours et en fin de chaque séquence pédagogique. La moyenne des notes obtenues aux différents contrôles continus dans une même unité de formation représente 30% de la moyenne générale.</w:t>
      </w:r>
    </w:p>
  </w:footnote>
  <w:footnote w:id="7">
    <w:p w:rsidR="00CA6FD2" w:rsidRDefault="00CA6FD2" w:rsidP="00CA6FD2">
      <w:pPr>
        <w:pStyle w:val="Notedebasdepage"/>
        <w:ind w:right="-1"/>
        <w:rPr>
          <w:i/>
          <w:iCs/>
          <w:sz w:val="14"/>
          <w:szCs w:val="14"/>
        </w:rPr>
      </w:pPr>
      <w:r>
        <w:rPr>
          <w:b/>
          <w:bCs/>
          <w:i/>
          <w:iCs/>
          <w:sz w:val="14"/>
          <w:szCs w:val="14"/>
        </w:rPr>
        <w:footnoteRef/>
      </w:r>
      <w:r>
        <w:rPr>
          <w:i/>
          <w:iCs/>
          <w:sz w:val="14"/>
          <w:szCs w:val="14"/>
        </w:rPr>
        <w:t xml:space="preserve"> L’EFCF Théorique représente la note obtenue à l’Examen de Fin de Cursus de formation. Il s’agit de l’examen de synthèse, des connaissances théoriques, effectué à la fin de chaque unité de formation. Il représente 20%.</w:t>
      </w:r>
    </w:p>
  </w:footnote>
  <w:footnote w:id="8">
    <w:p w:rsidR="00CA6FD2" w:rsidRDefault="00CA6FD2" w:rsidP="00CA6FD2">
      <w:pPr>
        <w:pStyle w:val="Notedebasdepage"/>
        <w:ind w:right="-1"/>
        <w:rPr>
          <w:b/>
          <w:bCs/>
          <w:i/>
          <w:iCs/>
          <w:sz w:val="14"/>
          <w:szCs w:val="14"/>
        </w:rPr>
      </w:pPr>
      <w:r>
        <w:rPr>
          <w:b/>
          <w:bCs/>
          <w:i/>
          <w:iCs/>
          <w:sz w:val="14"/>
          <w:szCs w:val="14"/>
        </w:rPr>
        <w:footnoteRef/>
      </w:r>
      <w:r>
        <w:rPr>
          <w:i/>
          <w:iCs/>
          <w:sz w:val="14"/>
          <w:szCs w:val="14"/>
        </w:rPr>
        <w:t xml:space="preserve"> L’EFCF Pratique représente la note obtenue à l’Examen de Fin de Cursus de formation. Il s’agit de l’examen de synthèse, des savoir-faire pratiques, effectué à la fin de chaque unité de formation. Il représente 30%.</w:t>
      </w:r>
    </w:p>
  </w:footnote>
  <w:footnote w:id="9">
    <w:p w:rsidR="00CA6FD2" w:rsidRDefault="00CA6FD2" w:rsidP="00CA6FD2">
      <w:pPr>
        <w:pStyle w:val="Notedebasdepage"/>
        <w:ind w:right="-1"/>
        <w:rPr>
          <w:i/>
          <w:iCs/>
          <w:sz w:val="14"/>
          <w:szCs w:val="14"/>
        </w:rPr>
      </w:pPr>
      <w:r>
        <w:rPr>
          <w:b/>
          <w:bCs/>
          <w:i/>
          <w:iCs/>
          <w:sz w:val="14"/>
          <w:szCs w:val="14"/>
        </w:rPr>
        <w:footnoteRef/>
      </w:r>
      <w:r>
        <w:rPr>
          <w:i/>
          <w:iCs/>
          <w:sz w:val="14"/>
          <w:szCs w:val="14"/>
        </w:rPr>
        <w:t xml:space="preserve"> Conformément aux normes de qualification des filières, le stage en entreprise constitue une unité de formation à part entière et à ce titre doit être évalué. La note « contrôles continus » représente l’évaluation effectuée conjointement par le formateur chargé du suivi du stagiaire et le tuteur en entreprise. La note EFCF Théorique est la note attribuée, par le(s) formateur(s), aux aspects théoriques et conceptuels développés par le stagiaire dans son rapport de stage. La note EFCF Pratique représente la note attribuée par le tuteur en entreprise aux activités pratiques et techniques, réalisées par le stagiaire en stages, dont la description est formalisée par le stagiaire dans son rapport et validée par le tuteur.</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FD2" w:rsidRPr="003957D6" w:rsidRDefault="00CA6FD2" w:rsidP="003957D6">
    <w:pPr>
      <w:pStyle w:val="En-tte"/>
      <w:tabs>
        <w:tab w:val="right" w:pos="9180"/>
      </w:tabs>
      <w:ind w:right="-109"/>
      <w:rPr>
        <w:rFonts w:ascii="Comic Sans MS" w:hAnsi="Comic Sans MS"/>
        <w:sz w:val="16"/>
        <w:szCs w:val="16"/>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3964" w:rsidRPr="00F73DA2" w:rsidRDefault="00C878AE" w:rsidP="00F73DA2">
    <w:pPr>
      <w:pStyle w:val="En-tte"/>
      <w:tabs>
        <w:tab w:val="right" w:pos="9180"/>
      </w:tabs>
      <w:ind w:right="-109"/>
      <w:rPr>
        <w:rFonts w:ascii="Comic Sans MS" w:hAnsi="Comic Sans MS"/>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624D5"/>
    <w:multiLevelType w:val="hybridMultilevel"/>
    <w:tmpl w:val="57A00EB6"/>
    <w:lvl w:ilvl="0" w:tplc="DD0CABBE">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
    <w:nsid w:val="12B321D2"/>
    <w:multiLevelType w:val="hybridMultilevel"/>
    <w:tmpl w:val="3EE2F60E"/>
    <w:lvl w:ilvl="0" w:tplc="040C0017">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2">
    <w:nsid w:val="15B731DB"/>
    <w:multiLevelType w:val="hybridMultilevel"/>
    <w:tmpl w:val="CD58361C"/>
    <w:lvl w:ilvl="0" w:tplc="040C000F">
      <w:start w:val="1"/>
      <w:numFmt w:val="decimal"/>
      <w:lvlText w:val="%1."/>
      <w:lvlJc w:val="left"/>
      <w:pPr>
        <w:ind w:left="1584" w:hanging="360"/>
      </w:pPr>
    </w:lvl>
    <w:lvl w:ilvl="1" w:tplc="040C0019" w:tentative="1">
      <w:start w:val="1"/>
      <w:numFmt w:val="lowerLetter"/>
      <w:lvlText w:val="%2."/>
      <w:lvlJc w:val="left"/>
      <w:pPr>
        <w:ind w:left="2304" w:hanging="360"/>
      </w:pPr>
    </w:lvl>
    <w:lvl w:ilvl="2" w:tplc="040C001B" w:tentative="1">
      <w:start w:val="1"/>
      <w:numFmt w:val="lowerRoman"/>
      <w:lvlText w:val="%3."/>
      <w:lvlJc w:val="right"/>
      <w:pPr>
        <w:ind w:left="3024" w:hanging="180"/>
      </w:pPr>
    </w:lvl>
    <w:lvl w:ilvl="3" w:tplc="040C000F" w:tentative="1">
      <w:start w:val="1"/>
      <w:numFmt w:val="decimal"/>
      <w:lvlText w:val="%4."/>
      <w:lvlJc w:val="left"/>
      <w:pPr>
        <w:ind w:left="3744" w:hanging="360"/>
      </w:pPr>
    </w:lvl>
    <w:lvl w:ilvl="4" w:tplc="040C0019" w:tentative="1">
      <w:start w:val="1"/>
      <w:numFmt w:val="lowerLetter"/>
      <w:lvlText w:val="%5."/>
      <w:lvlJc w:val="left"/>
      <w:pPr>
        <w:ind w:left="4464" w:hanging="360"/>
      </w:pPr>
    </w:lvl>
    <w:lvl w:ilvl="5" w:tplc="040C001B" w:tentative="1">
      <w:start w:val="1"/>
      <w:numFmt w:val="lowerRoman"/>
      <w:lvlText w:val="%6."/>
      <w:lvlJc w:val="right"/>
      <w:pPr>
        <w:ind w:left="5184" w:hanging="180"/>
      </w:pPr>
    </w:lvl>
    <w:lvl w:ilvl="6" w:tplc="040C000F" w:tentative="1">
      <w:start w:val="1"/>
      <w:numFmt w:val="decimal"/>
      <w:lvlText w:val="%7."/>
      <w:lvlJc w:val="left"/>
      <w:pPr>
        <w:ind w:left="5904" w:hanging="360"/>
      </w:pPr>
    </w:lvl>
    <w:lvl w:ilvl="7" w:tplc="040C0019" w:tentative="1">
      <w:start w:val="1"/>
      <w:numFmt w:val="lowerLetter"/>
      <w:lvlText w:val="%8."/>
      <w:lvlJc w:val="left"/>
      <w:pPr>
        <w:ind w:left="6624" w:hanging="360"/>
      </w:pPr>
    </w:lvl>
    <w:lvl w:ilvl="8" w:tplc="040C001B" w:tentative="1">
      <w:start w:val="1"/>
      <w:numFmt w:val="lowerRoman"/>
      <w:lvlText w:val="%9."/>
      <w:lvlJc w:val="right"/>
      <w:pPr>
        <w:ind w:left="7344" w:hanging="180"/>
      </w:pPr>
    </w:lvl>
  </w:abstractNum>
  <w:abstractNum w:abstractNumId="3">
    <w:nsid w:val="220B3EF2"/>
    <w:multiLevelType w:val="hybridMultilevel"/>
    <w:tmpl w:val="0A8CE714"/>
    <w:lvl w:ilvl="0" w:tplc="96C8FBF4">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4">
    <w:nsid w:val="26E9656C"/>
    <w:multiLevelType w:val="hybridMultilevel"/>
    <w:tmpl w:val="69B4BA9A"/>
    <w:lvl w:ilvl="0" w:tplc="040C000F">
      <w:start w:val="1"/>
      <w:numFmt w:val="decimal"/>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5">
    <w:nsid w:val="2E7F7E0C"/>
    <w:multiLevelType w:val="hybridMultilevel"/>
    <w:tmpl w:val="A9D0076A"/>
    <w:lvl w:ilvl="0" w:tplc="CA0815B6">
      <w:start w:val="1"/>
      <w:numFmt w:val="lowerLetter"/>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6">
    <w:nsid w:val="31B82972"/>
    <w:multiLevelType w:val="hybridMultilevel"/>
    <w:tmpl w:val="5CE07116"/>
    <w:lvl w:ilvl="0" w:tplc="9B827424">
      <w:start w:val="1"/>
      <w:numFmt w:val="bullet"/>
      <w:lvlText w:val=""/>
      <w:lvlJc w:val="left"/>
      <w:pPr>
        <w:tabs>
          <w:tab w:val="num" w:pos="864"/>
        </w:tabs>
        <w:ind w:left="864" w:hanging="360"/>
      </w:pPr>
      <w:rPr>
        <w:rFonts w:ascii="Wingdings" w:hAnsi="Wingdings" w:hint="default"/>
        <w:b/>
        <w:bCs w:val="0"/>
      </w:rPr>
    </w:lvl>
    <w:lvl w:ilvl="1" w:tplc="040C0003" w:tentative="1">
      <w:start w:val="1"/>
      <w:numFmt w:val="bullet"/>
      <w:lvlText w:val="o"/>
      <w:lvlJc w:val="left"/>
      <w:pPr>
        <w:tabs>
          <w:tab w:val="num" w:pos="1584"/>
        </w:tabs>
        <w:ind w:left="1584" w:hanging="360"/>
      </w:pPr>
      <w:rPr>
        <w:rFonts w:ascii="Courier New" w:hAnsi="Courier New" w:hint="default"/>
      </w:rPr>
    </w:lvl>
    <w:lvl w:ilvl="2" w:tplc="040C0005" w:tentative="1">
      <w:start w:val="1"/>
      <w:numFmt w:val="bullet"/>
      <w:lvlText w:val=""/>
      <w:lvlJc w:val="left"/>
      <w:pPr>
        <w:tabs>
          <w:tab w:val="num" w:pos="2304"/>
        </w:tabs>
        <w:ind w:left="2304" w:hanging="360"/>
      </w:pPr>
      <w:rPr>
        <w:rFonts w:ascii="Wingdings" w:hAnsi="Wingdings" w:hint="default"/>
      </w:rPr>
    </w:lvl>
    <w:lvl w:ilvl="3" w:tplc="040C0001" w:tentative="1">
      <w:start w:val="1"/>
      <w:numFmt w:val="bullet"/>
      <w:lvlText w:val=""/>
      <w:lvlJc w:val="left"/>
      <w:pPr>
        <w:tabs>
          <w:tab w:val="num" w:pos="3024"/>
        </w:tabs>
        <w:ind w:left="3024" w:hanging="360"/>
      </w:pPr>
      <w:rPr>
        <w:rFonts w:ascii="Symbol" w:hAnsi="Symbol" w:hint="default"/>
      </w:rPr>
    </w:lvl>
    <w:lvl w:ilvl="4" w:tplc="040C0003" w:tentative="1">
      <w:start w:val="1"/>
      <w:numFmt w:val="bullet"/>
      <w:lvlText w:val="o"/>
      <w:lvlJc w:val="left"/>
      <w:pPr>
        <w:tabs>
          <w:tab w:val="num" w:pos="3744"/>
        </w:tabs>
        <w:ind w:left="3744" w:hanging="360"/>
      </w:pPr>
      <w:rPr>
        <w:rFonts w:ascii="Courier New" w:hAnsi="Courier New" w:hint="default"/>
      </w:rPr>
    </w:lvl>
    <w:lvl w:ilvl="5" w:tplc="040C0005" w:tentative="1">
      <w:start w:val="1"/>
      <w:numFmt w:val="bullet"/>
      <w:lvlText w:val=""/>
      <w:lvlJc w:val="left"/>
      <w:pPr>
        <w:tabs>
          <w:tab w:val="num" w:pos="4464"/>
        </w:tabs>
        <w:ind w:left="4464" w:hanging="360"/>
      </w:pPr>
      <w:rPr>
        <w:rFonts w:ascii="Wingdings" w:hAnsi="Wingdings" w:hint="default"/>
      </w:rPr>
    </w:lvl>
    <w:lvl w:ilvl="6" w:tplc="040C0001" w:tentative="1">
      <w:start w:val="1"/>
      <w:numFmt w:val="bullet"/>
      <w:lvlText w:val=""/>
      <w:lvlJc w:val="left"/>
      <w:pPr>
        <w:tabs>
          <w:tab w:val="num" w:pos="5184"/>
        </w:tabs>
        <w:ind w:left="5184" w:hanging="360"/>
      </w:pPr>
      <w:rPr>
        <w:rFonts w:ascii="Symbol" w:hAnsi="Symbol" w:hint="default"/>
      </w:rPr>
    </w:lvl>
    <w:lvl w:ilvl="7" w:tplc="040C0003" w:tentative="1">
      <w:start w:val="1"/>
      <w:numFmt w:val="bullet"/>
      <w:lvlText w:val="o"/>
      <w:lvlJc w:val="left"/>
      <w:pPr>
        <w:tabs>
          <w:tab w:val="num" w:pos="5904"/>
        </w:tabs>
        <w:ind w:left="5904" w:hanging="360"/>
      </w:pPr>
      <w:rPr>
        <w:rFonts w:ascii="Courier New" w:hAnsi="Courier New" w:hint="default"/>
      </w:rPr>
    </w:lvl>
    <w:lvl w:ilvl="8" w:tplc="040C0005" w:tentative="1">
      <w:start w:val="1"/>
      <w:numFmt w:val="bullet"/>
      <w:lvlText w:val=""/>
      <w:lvlJc w:val="left"/>
      <w:pPr>
        <w:tabs>
          <w:tab w:val="num" w:pos="6624"/>
        </w:tabs>
        <w:ind w:left="6624" w:hanging="360"/>
      </w:pPr>
      <w:rPr>
        <w:rFonts w:ascii="Wingdings" w:hAnsi="Wingdings" w:hint="default"/>
      </w:rPr>
    </w:lvl>
  </w:abstractNum>
  <w:abstractNum w:abstractNumId="7">
    <w:nsid w:val="3CE84E60"/>
    <w:multiLevelType w:val="hybridMultilevel"/>
    <w:tmpl w:val="BA58536C"/>
    <w:lvl w:ilvl="0" w:tplc="9B827424">
      <w:start w:val="1"/>
      <w:numFmt w:val="bullet"/>
      <w:lvlText w:val=""/>
      <w:lvlJc w:val="left"/>
      <w:pPr>
        <w:tabs>
          <w:tab w:val="num" w:pos="864"/>
        </w:tabs>
        <w:ind w:left="864" w:hanging="360"/>
      </w:pPr>
      <w:rPr>
        <w:rFonts w:ascii="Wingdings" w:hAnsi="Wingdings" w:hint="default"/>
        <w:b/>
        <w:bCs w:val="0"/>
      </w:rPr>
    </w:lvl>
    <w:lvl w:ilvl="1" w:tplc="040C0003" w:tentative="1">
      <w:start w:val="1"/>
      <w:numFmt w:val="bullet"/>
      <w:lvlText w:val="o"/>
      <w:lvlJc w:val="left"/>
      <w:pPr>
        <w:tabs>
          <w:tab w:val="num" w:pos="1584"/>
        </w:tabs>
        <w:ind w:left="1584" w:hanging="360"/>
      </w:pPr>
      <w:rPr>
        <w:rFonts w:ascii="Courier New" w:hAnsi="Courier New" w:hint="default"/>
      </w:rPr>
    </w:lvl>
    <w:lvl w:ilvl="2" w:tplc="040C0005" w:tentative="1">
      <w:start w:val="1"/>
      <w:numFmt w:val="bullet"/>
      <w:lvlText w:val=""/>
      <w:lvlJc w:val="left"/>
      <w:pPr>
        <w:tabs>
          <w:tab w:val="num" w:pos="2304"/>
        </w:tabs>
        <w:ind w:left="2304" w:hanging="360"/>
      </w:pPr>
      <w:rPr>
        <w:rFonts w:ascii="Wingdings" w:hAnsi="Wingdings" w:hint="default"/>
      </w:rPr>
    </w:lvl>
    <w:lvl w:ilvl="3" w:tplc="040C0001" w:tentative="1">
      <w:start w:val="1"/>
      <w:numFmt w:val="bullet"/>
      <w:lvlText w:val=""/>
      <w:lvlJc w:val="left"/>
      <w:pPr>
        <w:tabs>
          <w:tab w:val="num" w:pos="3024"/>
        </w:tabs>
        <w:ind w:left="3024" w:hanging="360"/>
      </w:pPr>
      <w:rPr>
        <w:rFonts w:ascii="Symbol" w:hAnsi="Symbol" w:hint="default"/>
      </w:rPr>
    </w:lvl>
    <w:lvl w:ilvl="4" w:tplc="040C0003" w:tentative="1">
      <w:start w:val="1"/>
      <w:numFmt w:val="bullet"/>
      <w:lvlText w:val="o"/>
      <w:lvlJc w:val="left"/>
      <w:pPr>
        <w:tabs>
          <w:tab w:val="num" w:pos="3744"/>
        </w:tabs>
        <w:ind w:left="3744" w:hanging="360"/>
      </w:pPr>
      <w:rPr>
        <w:rFonts w:ascii="Courier New" w:hAnsi="Courier New" w:hint="default"/>
      </w:rPr>
    </w:lvl>
    <w:lvl w:ilvl="5" w:tplc="040C0005" w:tentative="1">
      <w:start w:val="1"/>
      <w:numFmt w:val="bullet"/>
      <w:lvlText w:val=""/>
      <w:lvlJc w:val="left"/>
      <w:pPr>
        <w:tabs>
          <w:tab w:val="num" w:pos="4464"/>
        </w:tabs>
        <w:ind w:left="4464" w:hanging="360"/>
      </w:pPr>
      <w:rPr>
        <w:rFonts w:ascii="Wingdings" w:hAnsi="Wingdings" w:hint="default"/>
      </w:rPr>
    </w:lvl>
    <w:lvl w:ilvl="6" w:tplc="040C0001" w:tentative="1">
      <w:start w:val="1"/>
      <w:numFmt w:val="bullet"/>
      <w:lvlText w:val=""/>
      <w:lvlJc w:val="left"/>
      <w:pPr>
        <w:tabs>
          <w:tab w:val="num" w:pos="5184"/>
        </w:tabs>
        <w:ind w:left="5184" w:hanging="360"/>
      </w:pPr>
      <w:rPr>
        <w:rFonts w:ascii="Symbol" w:hAnsi="Symbol" w:hint="default"/>
      </w:rPr>
    </w:lvl>
    <w:lvl w:ilvl="7" w:tplc="040C0003" w:tentative="1">
      <w:start w:val="1"/>
      <w:numFmt w:val="bullet"/>
      <w:lvlText w:val="o"/>
      <w:lvlJc w:val="left"/>
      <w:pPr>
        <w:tabs>
          <w:tab w:val="num" w:pos="5904"/>
        </w:tabs>
        <w:ind w:left="5904" w:hanging="360"/>
      </w:pPr>
      <w:rPr>
        <w:rFonts w:ascii="Courier New" w:hAnsi="Courier New" w:hint="default"/>
      </w:rPr>
    </w:lvl>
    <w:lvl w:ilvl="8" w:tplc="040C0005" w:tentative="1">
      <w:start w:val="1"/>
      <w:numFmt w:val="bullet"/>
      <w:lvlText w:val=""/>
      <w:lvlJc w:val="left"/>
      <w:pPr>
        <w:tabs>
          <w:tab w:val="num" w:pos="6624"/>
        </w:tabs>
        <w:ind w:left="6624" w:hanging="360"/>
      </w:pPr>
      <w:rPr>
        <w:rFonts w:ascii="Wingdings" w:hAnsi="Wingdings" w:hint="default"/>
      </w:rPr>
    </w:lvl>
  </w:abstractNum>
  <w:abstractNum w:abstractNumId="8">
    <w:nsid w:val="3EAE5DCD"/>
    <w:multiLevelType w:val="hybridMultilevel"/>
    <w:tmpl w:val="7CEABAD0"/>
    <w:lvl w:ilvl="0" w:tplc="BD6A067E">
      <w:start w:val="3"/>
      <w:numFmt w:val="bullet"/>
      <w:lvlText w:val="-"/>
      <w:lvlJc w:val="left"/>
      <w:pPr>
        <w:ind w:left="1146" w:hanging="360"/>
      </w:pPr>
      <w:rPr>
        <w:rFonts w:ascii="ComicSansMS" w:eastAsiaTheme="minorHAnsi" w:hAnsi="ComicSansMS" w:cs="ComicSansMS"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9">
    <w:nsid w:val="421907EE"/>
    <w:multiLevelType w:val="hybridMultilevel"/>
    <w:tmpl w:val="B5B21C96"/>
    <w:lvl w:ilvl="0" w:tplc="13F4D29A">
      <w:start w:val="1"/>
      <w:numFmt w:val="bullet"/>
      <w:lvlText w:val=""/>
      <w:lvlJc w:val="left"/>
      <w:pPr>
        <w:ind w:left="1146" w:hanging="360"/>
      </w:pPr>
      <w:rPr>
        <w:rFonts w:ascii="Symbol" w:hAnsi="Symbol" w:hint="default"/>
        <w:sz w:val="18"/>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0">
    <w:nsid w:val="46061C08"/>
    <w:multiLevelType w:val="hybridMultilevel"/>
    <w:tmpl w:val="14127F0A"/>
    <w:lvl w:ilvl="0" w:tplc="9B827424">
      <w:start w:val="1"/>
      <w:numFmt w:val="bullet"/>
      <w:lvlText w:val=""/>
      <w:lvlJc w:val="left"/>
      <w:pPr>
        <w:ind w:left="720" w:hanging="360"/>
      </w:pPr>
      <w:rPr>
        <w:rFonts w:ascii="Wingdings" w:hAnsi="Wingdings" w:hint="default"/>
        <w:b/>
        <w:bCs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47ED11DD"/>
    <w:multiLevelType w:val="multilevel"/>
    <w:tmpl w:val="231071B8"/>
    <w:lvl w:ilvl="0">
      <w:start w:val="1"/>
      <w:numFmt w:val="decimal"/>
      <w:pStyle w:val="MonTitre2"/>
      <w:lvlText w:val="%1."/>
      <w:lvlJc w:val="left"/>
      <w:pPr>
        <w:ind w:left="360" w:hanging="360"/>
      </w:pPr>
      <w:rPr>
        <w:rFonts w:hint="default"/>
        <w:sz w:val="24"/>
        <w:szCs w:val="24"/>
      </w:rPr>
    </w:lvl>
    <w:lvl w:ilvl="1">
      <w:start w:val="1"/>
      <w:numFmt w:val="decimal"/>
      <w:pStyle w:val="MonTitre3"/>
      <w:isLgl/>
      <w:lvlText w:val="%1.%2."/>
      <w:lvlJc w:val="left"/>
      <w:pPr>
        <w:ind w:left="1080" w:hanging="720"/>
      </w:pPr>
      <w:rPr>
        <w:rFonts w:hint="default"/>
      </w:rPr>
    </w:lvl>
    <w:lvl w:ilvl="2">
      <w:start w:val="1"/>
      <w:numFmt w:val="decimal"/>
      <w:isLgl/>
      <w:lvlText w:val="%1.%2.%3."/>
      <w:lvlJc w:val="left"/>
      <w:pPr>
        <w:ind w:left="1931" w:hanging="1080"/>
      </w:pPr>
      <w:rPr>
        <w:rFonts w:hint="default"/>
        <w:b/>
        <w:bCs/>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520" w:hanging="216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2">
    <w:nsid w:val="56843DAA"/>
    <w:multiLevelType w:val="hybridMultilevel"/>
    <w:tmpl w:val="DC0403CC"/>
    <w:lvl w:ilvl="0" w:tplc="BF1AC892">
      <w:start w:val="1"/>
      <w:numFmt w:val="bullet"/>
      <w:lvlText w:val=""/>
      <w:lvlJc w:val="left"/>
      <w:pPr>
        <w:tabs>
          <w:tab w:val="num" w:pos="720"/>
        </w:tabs>
        <w:ind w:left="720" w:hanging="360"/>
      </w:pPr>
      <w:rPr>
        <w:rFonts w:ascii="Wingdings" w:hAnsi="Wingdings" w:hint="default"/>
        <w:b/>
        <w:i/>
        <w:sz w:val="16"/>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5F7B48AD"/>
    <w:multiLevelType w:val="hybridMultilevel"/>
    <w:tmpl w:val="8782F8EE"/>
    <w:lvl w:ilvl="0" w:tplc="4B1AB198">
      <w:start w:val="1"/>
      <w:numFmt w:val="bullet"/>
      <w:lvlText w:val=""/>
      <w:lvlJc w:val="left"/>
      <w:pPr>
        <w:tabs>
          <w:tab w:val="num" w:pos="720"/>
        </w:tabs>
        <w:ind w:left="720" w:hanging="360"/>
      </w:pPr>
      <w:rPr>
        <w:rFonts w:ascii="Wingdings" w:hAnsi="Wingdings" w:hint="default"/>
        <w:b/>
        <w:i/>
        <w:sz w:val="12"/>
      </w:rPr>
    </w:lvl>
    <w:lvl w:ilvl="1" w:tplc="61A0BFFA">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66F22B27"/>
    <w:multiLevelType w:val="hybridMultilevel"/>
    <w:tmpl w:val="960238DC"/>
    <w:lvl w:ilvl="0" w:tplc="F634F286">
      <w:start w:val="1"/>
      <w:numFmt w:val="decimal"/>
      <w:lvlText w:val="%1-"/>
      <w:lvlJc w:val="left"/>
      <w:pPr>
        <w:ind w:left="502" w:hanging="360"/>
      </w:pPr>
      <w:rPr>
        <w:rFonts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5">
    <w:nsid w:val="694E1C36"/>
    <w:multiLevelType w:val="hybridMultilevel"/>
    <w:tmpl w:val="05F2611C"/>
    <w:lvl w:ilvl="0" w:tplc="040C000F">
      <w:start w:val="1"/>
      <w:numFmt w:val="decimal"/>
      <w:lvlText w:val="%1."/>
      <w:lvlJc w:val="left"/>
      <w:pPr>
        <w:ind w:left="1584" w:hanging="360"/>
      </w:pPr>
    </w:lvl>
    <w:lvl w:ilvl="1" w:tplc="040C0019" w:tentative="1">
      <w:start w:val="1"/>
      <w:numFmt w:val="lowerLetter"/>
      <w:lvlText w:val="%2."/>
      <w:lvlJc w:val="left"/>
      <w:pPr>
        <w:ind w:left="2304" w:hanging="360"/>
      </w:pPr>
    </w:lvl>
    <w:lvl w:ilvl="2" w:tplc="040C001B" w:tentative="1">
      <w:start w:val="1"/>
      <w:numFmt w:val="lowerRoman"/>
      <w:lvlText w:val="%3."/>
      <w:lvlJc w:val="right"/>
      <w:pPr>
        <w:ind w:left="3024" w:hanging="180"/>
      </w:pPr>
    </w:lvl>
    <w:lvl w:ilvl="3" w:tplc="040C000F" w:tentative="1">
      <w:start w:val="1"/>
      <w:numFmt w:val="decimal"/>
      <w:lvlText w:val="%4."/>
      <w:lvlJc w:val="left"/>
      <w:pPr>
        <w:ind w:left="3744" w:hanging="360"/>
      </w:pPr>
    </w:lvl>
    <w:lvl w:ilvl="4" w:tplc="040C0019" w:tentative="1">
      <w:start w:val="1"/>
      <w:numFmt w:val="lowerLetter"/>
      <w:lvlText w:val="%5."/>
      <w:lvlJc w:val="left"/>
      <w:pPr>
        <w:ind w:left="4464" w:hanging="360"/>
      </w:pPr>
    </w:lvl>
    <w:lvl w:ilvl="5" w:tplc="040C001B" w:tentative="1">
      <w:start w:val="1"/>
      <w:numFmt w:val="lowerRoman"/>
      <w:lvlText w:val="%6."/>
      <w:lvlJc w:val="right"/>
      <w:pPr>
        <w:ind w:left="5184" w:hanging="180"/>
      </w:pPr>
    </w:lvl>
    <w:lvl w:ilvl="6" w:tplc="040C000F" w:tentative="1">
      <w:start w:val="1"/>
      <w:numFmt w:val="decimal"/>
      <w:lvlText w:val="%7."/>
      <w:lvlJc w:val="left"/>
      <w:pPr>
        <w:ind w:left="5904" w:hanging="360"/>
      </w:pPr>
    </w:lvl>
    <w:lvl w:ilvl="7" w:tplc="040C0019" w:tentative="1">
      <w:start w:val="1"/>
      <w:numFmt w:val="lowerLetter"/>
      <w:lvlText w:val="%8."/>
      <w:lvlJc w:val="left"/>
      <w:pPr>
        <w:ind w:left="6624" w:hanging="360"/>
      </w:pPr>
    </w:lvl>
    <w:lvl w:ilvl="8" w:tplc="040C001B" w:tentative="1">
      <w:start w:val="1"/>
      <w:numFmt w:val="lowerRoman"/>
      <w:lvlText w:val="%9."/>
      <w:lvlJc w:val="right"/>
      <w:pPr>
        <w:ind w:left="7344" w:hanging="180"/>
      </w:pPr>
    </w:lvl>
  </w:abstractNum>
  <w:num w:numId="1">
    <w:abstractNumId w:val="11"/>
  </w:num>
  <w:num w:numId="2">
    <w:abstractNumId w:val="11"/>
  </w:num>
  <w:num w:numId="3">
    <w:abstractNumId w:val="7"/>
  </w:num>
  <w:num w:numId="4">
    <w:abstractNumId w:val="15"/>
  </w:num>
  <w:num w:numId="5">
    <w:abstractNumId w:val="2"/>
  </w:num>
  <w:num w:numId="6">
    <w:abstractNumId w:val="6"/>
  </w:num>
  <w:num w:numId="7">
    <w:abstractNumId w:val="4"/>
  </w:num>
  <w:num w:numId="8">
    <w:abstractNumId w:val="10"/>
  </w:num>
  <w:num w:numId="9">
    <w:abstractNumId w:val="14"/>
  </w:num>
  <w:num w:numId="10">
    <w:abstractNumId w:val="1"/>
  </w:num>
  <w:num w:numId="11">
    <w:abstractNumId w:val="8"/>
  </w:num>
  <w:num w:numId="12">
    <w:abstractNumId w:val="0"/>
  </w:num>
  <w:num w:numId="13">
    <w:abstractNumId w:val="9"/>
  </w:num>
  <w:num w:numId="14">
    <w:abstractNumId w:val="5"/>
  </w:num>
  <w:num w:numId="15">
    <w:abstractNumId w:val="3"/>
  </w:num>
  <w:num w:numId="16">
    <w:abstractNumId w:val="13"/>
  </w:num>
  <w:num w:numId="1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3074"/>
  </w:hdrShapeDefaults>
  <w:footnotePr>
    <w:footnote w:id="-1"/>
    <w:footnote w:id="0"/>
  </w:footnotePr>
  <w:endnotePr>
    <w:endnote w:id="-1"/>
    <w:endnote w:id="0"/>
  </w:endnotePr>
  <w:compat/>
  <w:rsids>
    <w:rsidRoot w:val="00CA6FD2"/>
    <w:rsid w:val="00020715"/>
    <w:rsid w:val="0005259D"/>
    <w:rsid w:val="000737F2"/>
    <w:rsid w:val="000F4158"/>
    <w:rsid w:val="0012018C"/>
    <w:rsid w:val="001355D0"/>
    <w:rsid w:val="00162E24"/>
    <w:rsid w:val="001F1488"/>
    <w:rsid w:val="002836A4"/>
    <w:rsid w:val="002A5823"/>
    <w:rsid w:val="002B7674"/>
    <w:rsid w:val="0031151C"/>
    <w:rsid w:val="00317D00"/>
    <w:rsid w:val="003B2AC6"/>
    <w:rsid w:val="00423C3D"/>
    <w:rsid w:val="004367FB"/>
    <w:rsid w:val="00441742"/>
    <w:rsid w:val="004D5D70"/>
    <w:rsid w:val="00503C25"/>
    <w:rsid w:val="005F0589"/>
    <w:rsid w:val="0067584C"/>
    <w:rsid w:val="00682BF7"/>
    <w:rsid w:val="006B3550"/>
    <w:rsid w:val="00720EE3"/>
    <w:rsid w:val="00741BF5"/>
    <w:rsid w:val="00760193"/>
    <w:rsid w:val="007729AE"/>
    <w:rsid w:val="0078362C"/>
    <w:rsid w:val="00790174"/>
    <w:rsid w:val="008451FF"/>
    <w:rsid w:val="00853952"/>
    <w:rsid w:val="009225F7"/>
    <w:rsid w:val="00953361"/>
    <w:rsid w:val="00964BE0"/>
    <w:rsid w:val="00992408"/>
    <w:rsid w:val="009D5099"/>
    <w:rsid w:val="00A32026"/>
    <w:rsid w:val="00A34E2C"/>
    <w:rsid w:val="00AC45D3"/>
    <w:rsid w:val="00AC7A10"/>
    <w:rsid w:val="00B547C5"/>
    <w:rsid w:val="00B82AA5"/>
    <w:rsid w:val="00BE1FC1"/>
    <w:rsid w:val="00C7015A"/>
    <w:rsid w:val="00C878AE"/>
    <w:rsid w:val="00CA6FD2"/>
    <w:rsid w:val="00CB548F"/>
    <w:rsid w:val="00D54E9C"/>
    <w:rsid w:val="00D74B93"/>
    <w:rsid w:val="00DC4799"/>
    <w:rsid w:val="00E37FC4"/>
    <w:rsid w:val="00E65FB9"/>
    <w:rsid w:val="00E66A43"/>
    <w:rsid w:val="00EA109D"/>
    <w:rsid w:val="00EB1319"/>
    <w:rsid w:val="00EF5CA1"/>
    <w:rsid w:val="00F1266C"/>
    <w:rsid w:val="00F2164E"/>
    <w:rsid w:val="00F552FB"/>
    <w:rsid w:val="00F90F1F"/>
    <w:rsid w:val="00FA0ACA"/>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pPr>
        <w:spacing w:before="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9AE"/>
    <w:pPr>
      <w:spacing w:after="200" w:line="276" w:lineRule="auto"/>
    </w:pPr>
    <w:rPr>
      <w:sz w:val="22"/>
      <w:szCs w:val="22"/>
      <w:lang w:eastAsia="en-US"/>
    </w:rPr>
  </w:style>
  <w:style w:type="paragraph" w:styleId="Titre1">
    <w:name w:val="heading 1"/>
    <w:basedOn w:val="Normal"/>
    <w:next w:val="Normal"/>
    <w:link w:val="Titre1Car"/>
    <w:uiPriority w:val="9"/>
    <w:qFormat/>
    <w:rsid w:val="007729AE"/>
    <w:pPr>
      <w:keepNext/>
      <w:keepLines/>
      <w:spacing w:before="480" w:after="0"/>
      <w:outlineLvl w:val="0"/>
    </w:pPr>
    <w:rPr>
      <w:rFonts w:asciiTheme="majorHAnsi" w:eastAsiaTheme="majorEastAsia" w:hAnsiTheme="majorHAnsi" w:cstheme="majorBidi"/>
      <w:b/>
      <w:bCs/>
      <w:color w:val="365F91" w:themeColor="accent1" w:themeShade="BF"/>
      <w:sz w:val="28"/>
      <w:szCs w:val="28"/>
      <w:lang w:eastAsia="fr-FR"/>
    </w:rPr>
  </w:style>
  <w:style w:type="paragraph" w:styleId="Titre2">
    <w:name w:val="heading 2"/>
    <w:basedOn w:val="Normal"/>
    <w:next w:val="Normal"/>
    <w:link w:val="Titre2Car"/>
    <w:unhideWhenUsed/>
    <w:qFormat/>
    <w:rsid w:val="007729A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re3">
    <w:name w:val="heading 3"/>
    <w:basedOn w:val="Normal"/>
    <w:next w:val="Normal"/>
    <w:link w:val="Titre3Car"/>
    <w:unhideWhenUsed/>
    <w:qFormat/>
    <w:rsid w:val="007729AE"/>
    <w:pPr>
      <w:keepNext/>
      <w:keepLines/>
      <w:spacing w:before="200" w:after="0"/>
      <w:outlineLvl w:val="2"/>
    </w:pPr>
    <w:rPr>
      <w:rFonts w:asciiTheme="majorHAnsi" w:eastAsiaTheme="majorEastAsia" w:hAnsiTheme="majorHAnsi" w:cstheme="majorBidi"/>
      <w:b/>
      <w:bCs/>
      <w:color w:val="4F81BD" w:themeColor="accent1"/>
      <w:lang w:eastAsia="fr-FR"/>
    </w:rPr>
  </w:style>
  <w:style w:type="paragraph" w:styleId="Titre4">
    <w:name w:val="heading 4"/>
    <w:basedOn w:val="Normal"/>
    <w:next w:val="Normal"/>
    <w:link w:val="Titre4Car"/>
    <w:qFormat/>
    <w:rsid w:val="007729AE"/>
    <w:pPr>
      <w:keepNext/>
      <w:spacing w:after="0" w:line="240" w:lineRule="auto"/>
      <w:ind w:left="1134"/>
      <w:outlineLvl w:val="3"/>
    </w:pPr>
    <w:rPr>
      <w:rFonts w:ascii="Times New Roman" w:eastAsia="Times New Roman" w:hAnsi="Times New Roman" w:cs="Times New Roman"/>
      <w:b/>
      <w:bCs/>
      <w:i/>
      <w:iCs/>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729AE"/>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7729AE"/>
    <w:rPr>
      <w:rFonts w:asciiTheme="majorHAnsi" w:eastAsiaTheme="majorEastAsia" w:hAnsiTheme="majorHAnsi" w:cstheme="majorBidi"/>
      <w:b/>
      <w:bCs/>
      <w:color w:val="4F81BD" w:themeColor="accent1"/>
      <w:sz w:val="26"/>
      <w:szCs w:val="26"/>
      <w:lang w:eastAsia="en-US"/>
    </w:rPr>
  </w:style>
  <w:style w:type="character" w:customStyle="1" w:styleId="Titre3Car">
    <w:name w:val="Titre 3 Car"/>
    <w:basedOn w:val="Policepardfaut"/>
    <w:link w:val="Titre3"/>
    <w:rsid w:val="007729AE"/>
    <w:rPr>
      <w:rFonts w:asciiTheme="majorHAnsi" w:eastAsiaTheme="majorEastAsia" w:hAnsiTheme="majorHAnsi" w:cstheme="majorBidi"/>
      <w:b/>
      <w:bCs/>
      <w:color w:val="4F81BD" w:themeColor="accent1"/>
      <w:sz w:val="22"/>
      <w:szCs w:val="22"/>
    </w:rPr>
  </w:style>
  <w:style w:type="character" w:customStyle="1" w:styleId="Titre4Car">
    <w:name w:val="Titre 4 Car"/>
    <w:basedOn w:val="Policepardfaut"/>
    <w:link w:val="Titre4"/>
    <w:rsid w:val="007729AE"/>
    <w:rPr>
      <w:rFonts w:ascii="Times New Roman" w:eastAsia="Times New Roman" w:hAnsi="Times New Roman" w:cs="Times New Roman"/>
      <w:b/>
      <w:bCs/>
      <w:i/>
      <w:iCs/>
      <w:sz w:val="22"/>
    </w:rPr>
  </w:style>
  <w:style w:type="paragraph" w:styleId="Lgende">
    <w:name w:val="caption"/>
    <w:basedOn w:val="Normal"/>
    <w:next w:val="Normal"/>
    <w:uiPriority w:val="35"/>
    <w:unhideWhenUsed/>
    <w:qFormat/>
    <w:rsid w:val="007729AE"/>
    <w:pPr>
      <w:spacing w:line="240" w:lineRule="auto"/>
    </w:pPr>
    <w:rPr>
      <w:b/>
      <w:bCs/>
      <w:color w:val="4F81BD"/>
      <w:sz w:val="18"/>
      <w:szCs w:val="18"/>
    </w:rPr>
  </w:style>
  <w:style w:type="paragraph" w:styleId="Titre">
    <w:name w:val="Title"/>
    <w:basedOn w:val="Normal"/>
    <w:next w:val="Normal"/>
    <w:link w:val="TitreCar"/>
    <w:uiPriority w:val="10"/>
    <w:qFormat/>
    <w:rsid w:val="007729A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eastAsia="fr-FR"/>
    </w:rPr>
  </w:style>
  <w:style w:type="character" w:customStyle="1" w:styleId="TitreCar">
    <w:name w:val="Titre Car"/>
    <w:basedOn w:val="Policepardfaut"/>
    <w:link w:val="Titre"/>
    <w:uiPriority w:val="10"/>
    <w:rsid w:val="007729AE"/>
    <w:rPr>
      <w:rFonts w:asciiTheme="majorHAnsi" w:eastAsiaTheme="majorEastAsia" w:hAnsiTheme="majorHAnsi" w:cstheme="majorBidi"/>
      <w:color w:val="17365D" w:themeColor="text2" w:themeShade="BF"/>
      <w:spacing w:val="5"/>
      <w:kern w:val="28"/>
      <w:sz w:val="52"/>
      <w:szCs w:val="52"/>
    </w:rPr>
  </w:style>
  <w:style w:type="paragraph" w:styleId="Paragraphedeliste">
    <w:name w:val="List Paragraph"/>
    <w:basedOn w:val="Normal"/>
    <w:link w:val="ParagraphedelisteCar"/>
    <w:uiPriority w:val="34"/>
    <w:qFormat/>
    <w:rsid w:val="007729AE"/>
    <w:pPr>
      <w:spacing w:after="0" w:line="400" w:lineRule="exact"/>
      <w:ind w:left="720"/>
      <w:contextualSpacing/>
    </w:pPr>
    <w:rPr>
      <w:rFonts w:ascii="Comic Sans MS" w:hAnsi="Comic Sans MS"/>
    </w:rPr>
  </w:style>
  <w:style w:type="character" w:customStyle="1" w:styleId="ParagraphedelisteCar">
    <w:name w:val="Paragraphe de liste Car"/>
    <w:basedOn w:val="Policepardfaut"/>
    <w:link w:val="Paragraphedeliste"/>
    <w:uiPriority w:val="34"/>
    <w:rsid w:val="007729AE"/>
    <w:rPr>
      <w:rFonts w:ascii="Comic Sans MS" w:hAnsi="Comic Sans MS"/>
      <w:sz w:val="22"/>
      <w:szCs w:val="22"/>
      <w:lang w:eastAsia="en-US"/>
    </w:rPr>
  </w:style>
  <w:style w:type="paragraph" w:customStyle="1" w:styleId="MonTitre2">
    <w:name w:val="Mon Titre2"/>
    <w:basedOn w:val="Titre2"/>
    <w:qFormat/>
    <w:rsid w:val="007729AE"/>
    <w:pPr>
      <w:numPr>
        <w:numId w:val="2"/>
      </w:numPr>
      <w:spacing w:before="360" w:after="240" w:line="400" w:lineRule="exact"/>
    </w:pPr>
    <w:rPr>
      <w:rFonts w:ascii="Comic Sans MS" w:eastAsia="Times New Roman" w:hAnsi="Comic Sans MS" w:cs="Times New Roman"/>
      <w:color w:val="auto"/>
      <w:sz w:val="22"/>
      <w:szCs w:val="22"/>
    </w:rPr>
  </w:style>
  <w:style w:type="paragraph" w:customStyle="1" w:styleId="MonTitre3">
    <w:name w:val="Mon Titre3"/>
    <w:basedOn w:val="Paragraphedeliste"/>
    <w:link w:val="MonTitre3Car"/>
    <w:qFormat/>
    <w:rsid w:val="007729AE"/>
    <w:pPr>
      <w:numPr>
        <w:ilvl w:val="1"/>
        <w:numId w:val="2"/>
      </w:numPr>
      <w:spacing w:before="240" w:after="240"/>
    </w:pPr>
    <w:rPr>
      <w:b/>
      <w:bCs/>
    </w:rPr>
  </w:style>
  <w:style w:type="character" w:customStyle="1" w:styleId="MonTitre3Car">
    <w:name w:val="Mon Titre3 Car"/>
    <w:basedOn w:val="ParagraphedelisteCar"/>
    <w:link w:val="MonTitre3"/>
    <w:rsid w:val="007729AE"/>
    <w:rPr>
      <w:b/>
      <w:bCs/>
    </w:rPr>
  </w:style>
  <w:style w:type="paragraph" w:customStyle="1" w:styleId="MaNotedebasdepage">
    <w:name w:val="Ma Note de bas de page"/>
    <w:basedOn w:val="Normal"/>
    <w:link w:val="MaNotedebasdepageCar"/>
    <w:qFormat/>
    <w:rsid w:val="001F1488"/>
    <w:pPr>
      <w:spacing w:after="0" w:line="360" w:lineRule="exact"/>
    </w:pPr>
    <w:rPr>
      <w:szCs w:val="20"/>
    </w:rPr>
  </w:style>
  <w:style w:type="paragraph" w:styleId="Notedebasdepage">
    <w:name w:val="footnote text"/>
    <w:next w:val="MaNotedebasdepage"/>
    <w:link w:val="NotedebasdepageCar"/>
    <w:uiPriority w:val="99"/>
    <w:semiHidden/>
    <w:unhideWhenUsed/>
    <w:rsid w:val="007729AE"/>
  </w:style>
  <w:style w:type="character" w:customStyle="1" w:styleId="NotedebasdepageCar">
    <w:name w:val="Note de bas de page Car"/>
    <w:basedOn w:val="Policepardfaut"/>
    <w:link w:val="Notedebasdepage"/>
    <w:uiPriority w:val="99"/>
    <w:semiHidden/>
    <w:rsid w:val="007729AE"/>
    <w:rPr>
      <w:lang w:eastAsia="en-US"/>
    </w:rPr>
  </w:style>
  <w:style w:type="character" w:customStyle="1" w:styleId="MaNotedebasdepageCar">
    <w:name w:val="Ma Note de bas de page Car"/>
    <w:basedOn w:val="NotedebasdepageCar"/>
    <w:link w:val="MaNotedebasdepage"/>
    <w:rsid w:val="001F1488"/>
    <w:rPr>
      <w:sz w:val="22"/>
    </w:rPr>
  </w:style>
  <w:style w:type="paragraph" w:customStyle="1" w:styleId="SPCalibri">
    <w:name w:val="SP Calibri"/>
    <w:basedOn w:val="Normal"/>
    <w:qFormat/>
    <w:rsid w:val="007729AE"/>
    <w:pPr>
      <w:tabs>
        <w:tab w:val="left" w:pos="-720"/>
      </w:tabs>
      <w:overflowPunct w:val="0"/>
      <w:autoSpaceDE w:val="0"/>
      <w:autoSpaceDN w:val="0"/>
      <w:adjustRightInd w:val="0"/>
      <w:spacing w:before="180" w:after="0" w:line="320" w:lineRule="atLeast"/>
      <w:textAlignment w:val="baseline"/>
    </w:pPr>
    <w:rPr>
      <w:rFonts w:eastAsia="Times New Roman" w:cs="Times New Roman"/>
      <w:szCs w:val="28"/>
      <w:lang w:eastAsia="fr-FR"/>
    </w:rPr>
  </w:style>
  <w:style w:type="paragraph" w:customStyle="1" w:styleId="Styleprincipal">
    <w:name w:val="Style principal"/>
    <w:basedOn w:val="Normal"/>
    <w:qFormat/>
    <w:rsid w:val="007729AE"/>
    <w:pPr>
      <w:tabs>
        <w:tab w:val="left" w:pos="-720"/>
      </w:tabs>
      <w:spacing w:before="180" w:after="0" w:line="320" w:lineRule="atLeast"/>
    </w:pPr>
    <w:rPr>
      <w:rFonts w:eastAsia="Times New Roman"/>
      <w:szCs w:val="24"/>
      <w:lang w:eastAsia="fr-FR"/>
    </w:rPr>
  </w:style>
  <w:style w:type="paragraph" w:styleId="En-tte">
    <w:name w:val="header"/>
    <w:basedOn w:val="Normal"/>
    <w:link w:val="En-tteCar"/>
    <w:uiPriority w:val="99"/>
    <w:semiHidden/>
    <w:unhideWhenUsed/>
    <w:rsid w:val="00CA6FD2"/>
    <w:pPr>
      <w:tabs>
        <w:tab w:val="center" w:pos="4536"/>
        <w:tab w:val="right" w:pos="9072"/>
      </w:tabs>
      <w:spacing w:before="0" w:after="0" w:line="240" w:lineRule="auto"/>
    </w:pPr>
  </w:style>
  <w:style w:type="character" w:customStyle="1" w:styleId="En-tteCar">
    <w:name w:val="En-tête Car"/>
    <w:basedOn w:val="Policepardfaut"/>
    <w:link w:val="En-tte"/>
    <w:uiPriority w:val="99"/>
    <w:semiHidden/>
    <w:rsid w:val="00CA6FD2"/>
    <w:rPr>
      <w:sz w:val="22"/>
      <w:szCs w:val="22"/>
      <w:lang w:eastAsia="en-US"/>
    </w:rPr>
  </w:style>
  <w:style w:type="paragraph" w:styleId="Pieddepage">
    <w:name w:val="footer"/>
    <w:basedOn w:val="Normal"/>
    <w:link w:val="PieddepageCar"/>
    <w:uiPriority w:val="99"/>
    <w:unhideWhenUsed/>
    <w:rsid w:val="00CA6FD2"/>
    <w:pPr>
      <w:tabs>
        <w:tab w:val="center" w:pos="4536"/>
        <w:tab w:val="right" w:pos="9072"/>
      </w:tabs>
      <w:spacing w:before="0" w:after="0" w:line="240" w:lineRule="auto"/>
    </w:pPr>
  </w:style>
  <w:style w:type="character" w:customStyle="1" w:styleId="PieddepageCar">
    <w:name w:val="Pied de page Car"/>
    <w:basedOn w:val="Policepardfaut"/>
    <w:link w:val="Pieddepage"/>
    <w:uiPriority w:val="99"/>
    <w:rsid w:val="00CA6FD2"/>
    <w:rPr>
      <w:sz w:val="22"/>
      <w:szCs w:val="22"/>
      <w:lang w:eastAsia="en-US"/>
    </w:rPr>
  </w:style>
  <w:style w:type="character" w:styleId="Appelnotedebasdep">
    <w:name w:val="footnote reference"/>
    <w:basedOn w:val="Policepardfaut"/>
    <w:semiHidden/>
    <w:rsid w:val="00CA6FD2"/>
    <w:rPr>
      <w:rFonts w:ascii="Times New Roman" w:hAnsi="Times New Roman" w:cs="Times New Roman"/>
      <w:sz w:val="24"/>
      <w:szCs w:val="24"/>
      <w:vertAlign w:val="superscript"/>
    </w:rPr>
  </w:style>
  <w:style w:type="character" w:styleId="Numrodepage">
    <w:name w:val="page number"/>
    <w:basedOn w:val="Policepardfaut"/>
    <w:rsid w:val="00CA6FD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15</Pages>
  <Words>5295</Words>
  <Characters>29127</Characters>
  <Application>Microsoft Office Word</Application>
  <DocSecurity>0</DocSecurity>
  <Lines>242</Lines>
  <Paragraphs>68</Paragraphs>
  <ScaleCrop>false</ScaleCrop>
  <Company/>
  <LinksUpToDate>false</LinksUpToDate>
  <CharactersWithSpaces>34354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2012-10-16T12:54:00Z</dcterms:created>
  <dcterms:modified xsi:type="dcterms:W3CDTF">2012-10-16T13:01:00Z</dcterms:modified>
</cp:coreProperties>
</file>